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9D40" w14:textId="41D71C90" w:rsidR="00746BCE" w:rsidRPr="003272B0" w:rsidRDefault="00746BCE" w:rsidP="002E1843">
      <w:pPr>
        <w:spacing w:line="480" w:lineRule="auto"/>
        <w:jc w:val="center"/>
        <w:rPr>
          <w:b/>
          <w:color w:val="000000" w:themeColor="text1"/>
          <w:sz w:val="22"/>
          <w:szCs w:val="22"/>
        </w:rPr>
      </w:pPr>
      <w:r w:rsidRPr="003272B0">
        <w:rPr>
          <w:b/>
          <w:color w:val="000000" w:themeColor="text1"/>
          <w:sz w:val="22"/>
          <w:szCs w:val="22"/>
        </w:rPr>
        <w:t xml:space="preserve">The </w:t>
      </w:r>
      <w:r w:rsidR="00F506E5" w:rsidRPr="003272B0">
        <w:rPr>
          <w:b/>
          <w:color w:val="000000" w:themeColor="text1"/>
          <w:sz w:val="22"/>
          <w:szCs w:val="22"/>
        </w:rPr>
        <w:t>N</w:t>
      </w:r>
      <w:r w:rsidRPr="003272B0">
        <w:rPr>
          <w:b/>
          <w:color w:val="000000" w:themeColor="text1"/>
          <w:sz w:val="22"/>
          <w:szCs w:val="22"/>
        </w:rPr>
        <w:t xml:space="preserve">eed to </w:t>
      </w:r>
      <w:r w:rsidR="00F506E5" w:rsidRPr="003272B0">
        <w:rPr>
          <w:b/>
          <w:color w:val="000000" w:themeColor="text1"/>
          <w:sz w:val="22"/>
          <w:szCs w:val="22"/>
        </w:rPr>
        <w:t>E</w:t>
      </w:r>
      <w:r w:rsidRPr="003272B0">
        <w:rPr>
          <w:b/>
          <w:color w:val="000000" w:themeColor="text1"/>
          <w:sz w:val="22"/>
          <w:szCs w:val="22"/>
        </w:rPr>
        <w:t xml:space="preserve">nhance </w:t>
      </w:r>
      <w:r w:rsidR="00F506E5" w:rsidRPr="003272B0">
        <w:rPr>
          <w:b/>
          <w:color w:val="000000" w:themeColor="text1"/>
          <w:sz w:val="22"/>
          <w:szCs w:val="22"/>
        </w:rPr>
        <w:t>M</w:t>
      </w:r>
      <w:r w:rsidRPr="003272B0">
        <w:rPr>
          <w:b/>
          <w:color w:val="000000" w:themeColor="text1"/>
          <w:sz w:val="22"/>
          <w:szCs w:val="22"/>
        </w:rPr>
        <w:t xml:space="preserve">arine </w:t>
      </w:r>
      <w:r w:rsidR="00DA4781" w:rsidRPr="003272B0">
        <w:rPr>
          <w:b/>
          <w:color w:val="000000" w:themeColor="text1"/>
          <w:sz w:val="22"/>
          <w:szCs w:val="22"/>
        </w:rPr>
        <w:t xml:space="preserve">Occupational </w:t>
      </w:r>
      <w:r w:rsidR="00F506E5" w:rsidRPr="003272B0">
        <w:rPr>
          <w:b/>
          <w:color w:val="000000" w:themeColor="text1"/>
          <w:sz w:val="22"/>
          <w:szCs w:val="22"/>
        </w:rPr>
        <w:t>H</w:t>
      </w:r>
      <w:r w:rsidRPr="003272B0">
        <w:rPr>
          <w:b/>
          <w:color w:val="000000" w:themeColor="text1"/>
          <w:sz w:val="22"/>
          <w:szCs w:val="22"/>
        </w:rPr>
        <w:t xml:space="preserve">ealth and </w:t>
      </w:r>
      <w:r w:rsidR="00F506E5" w:rsidRPr="003272B0">
        <w:rPr>
          <w:b/>
          <w:color w:val="000000" w:themeColor="text1"/>
          <w:sz w:val="22"/>
          <w:szCs w:val="22"/>
        </w:rPr>
        <w:t>S</w:t>
      </w:r>
      <w:r w:rsidRPr="003272B0">
        <w:rPr>
          <w:b/>
          <w:color w:val="000000" w:themeColor="text1"/>
          <w:sz w:val="22"/>
          <w:szCs w:val="22"/>
        </w:rPr>
        <w:t>afety in Canada</w:t>
      </w:r>
    </w:p>
    <w:p w14:paraId="6CB9F418" w14:textId="34D627B8" w:rsidR="00B94977" w:rsidRPr="003272B0" w:rsidRDefault="00B94977" w:rsidP="002E1843">
      <w:pPr>
        <w:spacing w:line="480" w:lineRule="auto"/>
        <w:rPr>
          <w:color w:val="000000" w:themeColor="text1"/>
          <w:sz w:val="22"/>
          <w:szCs w:val="22"/>
        </w:rPr>
      </w:pPr>
    </w:p>
    <w:p w14:paraId="2C98225D" w14:textId="46E1E089" w:rsidR="00F506E5" w:rsidRPr="003272B0" w:rsidRDefault="00F506E5" w:rsidP="002E1843">
      <w:pPr>
        <w:spacing w:line="480" w:lineRule="auto"/>
        <w:rPr>
          <w:color w:val="000000" w:themeColor="text1"/>
          <w:sz w:val="22"/>
          <w:szCs w:val="22"/>
        </w:rPr>
      </w:pPr>
      <w:r w:rsidRPr="003272B0">
        <w:rPr>
          <w:color w:val="000000" w:themeColor="text1"/>
          <w:sz w:val="22"/>
          <w:szCs w:val="22"/>
        </w:rPr>
        <w:t>Desai Shan</w:t>
      </w:r>
      <w:r w:rsidR="00BF58B1" w:rsidRPr="003272B0">
        <w:rPr>
          <w:color w:val="000000" w:themeColor="text1"/>
          <w:sz w:val="22"/>
          <w:szCs w:val="22"/>
        </w:rPr>
        <w:t>*</w:t>
      </w:r>
    </w:p>
    <w:p w14:paraId="0FA47335" w14:textId="41EA82EF" w:rsidR="00F506E5" w:rsidRDefault="00F506E5" w:rsidP="002E1843">
      <w:pPr>
        <w:spacing w:line="480" w:lineRule="auto"/>
        <w:rPr>
          <w:i/>
          <w:color w:val="000000" w:themeColor="text1"/>
          <w:sz w:val="22"/>
          <w:szCs w:val="22"/>
        </w:rPr>
      </w:pPr>
      <w:r w:rsidRPr="003272B0">
        <w:rPr>
          <w:i/>
          <w:color w:val="000000" w:themeColor="text1"/>
          <w:sz w:val="22"/>
          <w:szCs w:val="22"/>
        </w:rPr>
        <w:t>Ocean Frontier Institute, Schulich School of Law, Dalhousie University, Canada</w:t>
      </w:r>
    </w:p>
    <w:p w14:paraId="15A5E562" w14:textId="77777777" w:rsidR="00280221" w:rsidRPr="00216271" w:rsidRDefault="00280221" w:rsidP="00280221">
      <w:pPr>
        <w:jc w:val="both"/>
        <w:rPr>
          <w:i/>
          <w:szCs w:val="22"/>
          <w:lang w:val="en-US"/>
        </w:rPr>
      </w:pPr>
      <w:r w:rsidRPr="00216271">
        <w:rPr>
          <w:i/>
          <w:sz w:val="22"/>
          <w:szCs w:val="22"/>
          <w:lang w:val="en-US"/>
        </w:rPr>
        <w:t>Division of Community Health and Humanities, Faculty of Medicine, Memorial University of Newfoundland, St John’s, Canada</w:t>
      </w:r>
    </w:p>
    <w:p w14:paraId="5CADE137" w14:textId="77777777" w:rsidR="00280221" w:rsidRPr="00280221" w:rsidRDefault="00280221" w:rsidP="002E1843">
      <w:pPr>
        <w:spacing w:line="480" w:lineRule="auto"/>
        <w:rPr>
          <w:i/>
          <w:color w:val="000000" w:themeColor="text1"/>
          <w:sz w:val="22"/>
          <w:szCs w:val="22"/>
          <w:lang w:val="en-US"/>
        </w:rPr>
      </w:pPr>
    </w:p>
    <w:p w14:paraId="49664E1C" w14:textId="590D3FA4" w:rsidR="00FE2169" w:rsidRPr="003272B0" w:rsidRDefault="00DE68AB" w:rsidP="004574D6">
      <w:pPr>
        <w:pStyle w:val="Heading1"/>
        <w:spacing w:line="480" w:lineRule="auto"/>
        <w:rPr>
          <w:szCs w:val="22"/>
        </w:rPr>
      </w:pPr>
      <w:r w:rsidRPr="003272B0">
        <w:rPr>
          <w:szCs w:val="22"/>
        </w:rPr>
        <w:t>INTRODUCTION</w:t>
      </w:r>
    </w:p>
    <w:p w14:paraId="43444239" w14:textId="40BE5EC4" w:rsidR="00A05F69" w:rsidRPr="003272B0" w:rsidRDefault="00DE25F3" w:rsidP="0060334D">
      <w:pPr>
        <w:spacing w:line="480" w:lineRule="auto"/>
        <w:ind w:left="720"/>
        <w:rPr>
          <w:color w:val="000000" w:themeColor="text1"/>
          <w:sz w:val="22"/>
          <w:szCs w:val="22"/>
        </w:rPr>
      </w:pPr>
      <w:r w:rsidRPr="003272B0">
        <w:rPr>
          <w:color w:val="000000" w:themeColor="text1"/>
          <w:sz w:val="22"/>
          <w:szCs w:val="22"/>
        </w:rPr>
        <w:t xml:space="preserve">On </w:t>
      </w:r>
      <w:r w:rsidR="008E6D83" w:rsidRPr="003272B0">
        <w:rPr>
          <w:color w:val="000000" w:themeColor="text1"/>
          <w:sz w:val="22"/>
          <w:szCs w:val="22"/>
        </w:rPr>
        <w:t>the midnight of 16</w:t>
      </w:r>
      <w:r w:rsidR="008E6D83" w:rsidRPr="003272B0">
        <w:rPr>
          <w:color w:val="000000" w:themeColor="text1"/>
          <w:sz w:val="22"/>
          <w:szCs w:val="22"/>
          <w:vertAlign w:val="superscript"/>
        </w:rPr>
        <w:t>th</w:t>
      </w:r>
      <w:r w:rsidR="008E6D83" w:rsidRPr="003272B0">
        <w:rPr>
          <w:color w:val="000000" w:themeColor="text1"/>
          <w:sz w:val="22"/>
          <w:szCs w:val="22"/>
        </w:rPr>
        <w:t xml:space="preserve"> October,</w:t>
      </w:r>
      <w:r w:rsidR="000D5D50" w:rsidRPr="003272B0">
        <w:rPr>
          <w:color w:val="000000" w:themeColor="text1"/>
          <w:sz w:val="22"/>
          <w:szCs w:val="22"/>
        </w:rPr>
        <w:t xml:space="preserve"> 2018,</w:t>
      </w:r>
      <w:r w:rsidR="008E6D83" w:rsidRPr="003272B0">
        <w:rPr>
          <w:color w:val="000000" w:themeColor="text1"/>
          <w:sz w:val="22"/>
          <w:szCs w:val="22"/>
        </w:rPr>
        <w:t xml:space="preserve"> </w:t>
      </w:r>
      <w:r w:rsidR="000D038D" w:rsidRPr="003272B0">
        <w:rPr>
          <w:color w:val="000000" w:themeColor="text1"/>
          <w:sz w:val="22"/>
          <w:szCs w:val="22"/>
        </w:rPr>
        <w:t xml:space="preserve">a third officer </w:t>
      </w:r>
      <w:r w:rsidR="00CF6931" w:rsidRPr="003272B0">
        <w:rPr>
          <w:color w:val="000000" w:themeColor="text1"/>
          <w:sz w:val="22"/>
          <w:szCs w:val="22"/>
        </w:rPr>
        <w:t xml:space="preserve">Alfred </w:t>
      </w:r>
      <w:r w:rsidR="000D038D" w:rsidRPr="003272B0">
        <w:rPr>
          <w:color w:val="000000" w:themeColor="text1"/>
          <w:sz w:val="22"/>
          <w:szCs w:val="22"/>
        </w:rPr>
        <w:t xml:space="preserve">was </w:t>
      </w:r>
      <w:r w:rsidR="00337548" w:rsidRPr="003272B0">
        <w:rPr>
          <w:color w:val="000000" w:themeColor="text1"/>
          <w:sz w:val="22"/>
          <w:szCs w:val="22"/>
        </w:rPr>
        <w:t>lowered from the ship</w:t>
      </w:r>
      <w:r w:rsidR="0047176D" w:rsidRPr="003272B0">
        <w:rPr>
          <w:color w:val="000000" w:themeColor="text1"/>
          <w:sz w:val="22"/>
          <w:szCs w:val="22"/>
        </w:rPr>
        <w:t xml:space="preserve"> </w:t>
      </w:r>
      <w:proofErr w:type="spellStart"/>
      <w:r w:rsidR="0047176D" w:rsidRPr="003272B0">
        <w:rPr>
          <w:i/>
          <w:iCs/>
          <w:color w:val="000000" w:themeColor="text1"/>
          <w:sz w:val="22"/>
          <w:szCs w:val="22"/>
        </w:rPr>
        <w:t>Spruceglen</w:t>
      </w:r>
      <w:proofErr w:type="spellEnd"/>
      <w:r w:rsidR="00337548" w:rsidRPr="003272B0">
        <w:rPr>
          <w:color w:val="000000" w:themeColor="text1"/>
          <w:sz w:val="22"/>
          <w:szCs w:val="22"/>
        </w:rPr>
        <w:t xml:space="preserve"> t</w:t>
      </w:r>
      <w:r w:rsidR="000D5D50" w:rsidRPr="003272B0">
        <w:rPr>
          <w:color w:val="000000" w:themeColor="text1"/>
          <w:sz w:val="22"/>
          <w:szCs w:val="22"/>
        </w:rPr>
        <w:t>o a dock on the downstream side of the Eisenhower Locks on the St. Lawrence Seaway</w:t>
      </w:r>
      <w:r w:rsidR="0047176D" w:rsidRPr="003272B0">
        <w:rPr>
          <w:color w:val="000000" w:themeColor="text1"/>
          <w:sz w:val="22"/>
          <w:szCs w:val="22"/>
        </w:rPr>
        <w:t>, in order to t</w:t>
      </w:r>
      <w:r w:rsidR="00AA13ED" w:rsidRPr="003272B0">
        <w:rPr>
          <w:color w:val="000000" w:themeColor="text1"/>
          <w:sz w:val="22"/>
          <w:szCs w:val="22"/>
        </w:rPr>
        <w:t xml:space="preserve">ie off the vessel while it waited to its turn to proceed the lock. </w:t>
      </w:r>
      <w:r w:rsidR="00CF6931" w:rsidRPr="003272B0">
        <w:rPr>
          <w:color w:val="000000" w:themeColor="text1"/>
          <w:sz w:val="22"/>
          <w:szCs w:val="22"/>
        </w:rPr>
        <w:t xml:space="preserve">However, Alfred lost his balance and fell into the water. </w:t>
      </w:r>
      <w:r w:rsidR="000D2856" w:rsidRPr="003272B0">
        <w:rPr>
          <w:color w:val="000000" w:themeColor="text1"/>
          <w:sz w:val="22"/>
          <w:szCs w:val="22"/>
        </w:rPr>
        <w:t>Two workers from the St. Lawrence Seaway</w:t>
      </w:r>
      <w:r w:rsidR="005F1837" w:rsidRPr="003272B0">
        <w:rPr>
          <w:color w:val="000000" w:themeColor="text1"/>
          <w:sz w:val="22"/>
          <w:szCs w:val="22"/>
        </w:rPr>
        <w:t xml:space="preserve"> Management went into water </w:t>
      </w:r>
      <w:r w:rsidR="00935512" w:rsidRPr="003272B0">
        <w:rPr>
          <w:color w:val="000000" w:themeColor="text1"/>
          <w:sz w:val="22"/>
          <w:szCs w:val="22"/>
        </w:rPr>
        <w:t xml:space="preserve">and reached him within three minutes. However, Alfred was unresponsive, and then he was sent to </w:t>
      </w:r>
      <w:r w:rsidR="0016237E" w:rsidRPr="003272B0">
        <w:rPr>
          <w:color w:val="000000" w:themeColor="text1"/>
          <w:sz w:val="22"/>
          <w:szCs w:val="22"/>
        </w:rPr>
        <w:t>Massena Memorial Hospital</w:t>
      </w:r>
      <w:r w:rsidR="00A05F69" w:rsidRPr="003272B0">
        <w:rPr>
          <w:color w:val="000000" w:themeColor="text1"/>
          <w:sz w:val="22"/>
          <w:szCs w:val="22"/>
        </w:rPr>
        <w:t>. Alfred</w:t>
      </w:r>
      <w:r w:rsidR="0016237E" w:rsidRPr="003272B0">
        <w:rPr>
          <w:color w:val="000000" w:themeColor="text1"/>
          <w:sz w:val="22"/>
          <w:szCs w:val="22"/>
        </w:rPr>
        <w:t xml:space="preserve"> was pronounced dead at 2 am, 17</w:t>
      </w:r>
      <w:r w:rsidR="0016237E" w:rsidRPr="003272B0">
        <w:rPr>
          <w:color w:val="000000" w:themeColor="text1"/>
          <w:sz w:val="22"/>
          <w:szCs w:val="22"/>
          <w:vertAlign w:val="superscript"/>
        </w:rPr>
        <w:t>th</w:t>
      </w:r>
      <w:r w:rsidR="0016237E" w:rsidRPr="003272B0">
        <w:rPr>
          <w:color w:val="000000" w:themeColor="text1"/>
          <w:sz w:val="22"/>
          <w:szCs w:val="22"/>
        </w:rPr>
        <w:t xml:space="preserve"> October 2018. </w:t>
      </w:r>
      <w:r w:rsidR="00A73295" w:rsidRPr="003272B0">
        <w:rPr>
          <w:rStyle w:val="FootnoteReference"/>
          <w:color w:val="000000" w:themeColor="text1"/>
          <w:sz w:val="22"/>
          <w:szCs w:val="22"/>
        </w:rPr>
        <w:footnoteReference w:id="1"/>
      </w:r>
      <w:r w:rsidR="00FD3842" w:rsidRPr="003272B0">
        <w:rPr>
          <w:rStyle w:val="FootnoteReference"/>
          <w:color w:val="000000" w:themeColor="text1"/>
          <w:sz w:val="22"/>
          <w:szCs w:val="22"/>
        </w:rPr>
        <w:footnoteReference w:id="2"/>
      </w:r>
    </w:p>
    <w:p w14:paraId="6CEFF19E" w14:textId="77777777" w:rsidR="0060334D" w:rsidRPr="003272B0" w:rsidRDefault="0060334D" w:rsidP="0060334D">
      <w:pPr>
        <w:spacing w:line="480" w:lineRule="auto"/>
        <w:ind w:left="720"/>
        <w:rPr>
          <w:color w:val="000000" w:themeColor="text1"/>
          <w:sz w:val="22"/>
          <w:szCs w:val="22"/>
        </w:rPr>
      </w:pPr>
    </w:p>
    <w:p w14:paraId="3C011ECA" w14:textId="74622104" w:rsidR="00501F3C" w:rsidRPr="003272B0" w:rsidRDefault="0067115D" w:rsidP="002E1843">
      <w:pPr>
        <w:spacing w:line="480" w:lineRule="auto"/>
        <w:ind w:left="720"/>
        <w:rPr>
          <w:color w:val="000000" w:themeColor="text1"/>
          <w:sz w:val="22"/>
          <w:szCs w:val="22"/>
        </w:rPr>
      </w:pPr>
      <w:r w:rsidRPr="003272B0">
        <w:rPr>
          <w:color w:val="000000" w:themeColor="text1"/>
          <w:sz w:val="22"/>
          <w:szCs w:val="22"/>
        </w:rPr>
        <w:t xml:space="preserve">The year of 2018 was called the deadliest year in over a decade for commercial fisherman in Canada. </w:t>
      </w:r>
      <w:r w:rsidR="00AB54D8" w:rsidRPr="003272B0">
        <w:rPr>
          <w:color w:val="000000" w:themeColor="text1"/>
          <w:sz w:val="22"/>
          <w:szCs w:val="22"/>
        </w:rPr>
        <w:t xml:space="preserve">By </w:t>
      </w:r>
      <w:r w:rsidR="00B56228" w:rsidRPr="003272B0">
        <w:rPr>
          <w:color w:val="000000" w:themeColor="text1"/>
          <w:sz w:val="22"/>
          <w:szCs w:val="22"/>
        </w:rPr>
        <w:t>Oct, 2018, 17 f</w:t>
      </w:r>
      <w:r w:rsidR="00533F7C" w:rsidRPr="003272B0">
        <w:rPr>
          <w:color w:val="000000" w:themeColor="text1"/>
          <w:sz w:val="22"/>
          <w:szCs w:val="22"/>
        </w:rPr>
        <w:t>atal accidents were reported</w:t>
      </w:r>
      <w:r w:rsidR="008B38A1" w:rsidRPr="003272B0">
        <w:rPr>
          <w:color w:val="000000" w:themeColor="text1"/>
          <w:sz w:val="22"/>
          <w:szCs w:val="22"/>
        </w:rPr>
        <w:t xml:space="preserve">. </w:t>
      </w:r>
      <w:r w:rsidR="007865EC" w:rsidRPr="003272B0">
        <w:rPr>
          <w:color w:val="000000" w:themeColor="text1"/>
          <w:sz w:val="22"/>
          <w:szCs w:val="22"/>
        </w:rPr>
        <w:t xml:space="preserve">The </w:t>
      </w:r>
      <w:r w:rsidR="007865EC" w:rsidRPr="003272B0">
        <w:rPr>
          <w:color w:val="000000" w:themeColor="text1"/>
          <w:sz w:val="22"/>
          <w:szCs w:val="22"/>
        </w:rPr>
        <w:lastRenderedPageBreak/>
        <w:t>fishing industry has long registered disproportionately large numbers of accident</w:t>
      </w:r>
      <w:r w:rsidR="000C2BA5" w:rsidRPr="003272B0">
        <w:rPr>
          <w:color w:val="000000" w:themeColor="text1"/>
          <w:sz w:val="22"/>
          <w:szCs w:val="22"/>
        </w:rPr>
        <w:t>s and fatalities. Since 1992, the Transportation Safety Board of Canada has made 48 recommendations to address safety de</w:t>
      </w:r>
      <w:r w:rsidR="009C3CA1" w:rsidRPr="003272B0">
        <w:rPr>
          <w:color w:val="000000" w:themeColor="text1"/>
          <w:sz w:val="22"/>
          <w:szCs w:val="22"/>
        </w:rPr>
        <w:t xml:space="preserve">ficiencies. Fishing safety has been on the Watchlist since 2010. </w:t>
      </w:r>
      <w:r w:rsidR="009C3CA1" w:rsidRPr="003272B0">
        <w:rPr>
          <w:rStyle w:val="FootnoteReference"/>
          <w:color w:val="000000" w:themeColor="text1"/>
          <w:sz w:val="22"/>
          <w:szCs w:val="22"/>
        </w:rPr>
        <w:footnoteReference w:id="3"/>
      </w:r>
      <w:r w:rsidR="005E1787" w:rsidRPr="003272B0">
        <w:rPr>
          <w:rStyle w:val="FootnoteReference"/>
          <w:color w:val="000000" w:themeColor="text1"/>
          <w:sz w:val="22"/>
          <w:szCs w:val="22"/>
        </w:rPr>
        <w:footnoteReference w:id="4"/>
      </w:r>
    </w:p>
    <w:p w14:paraId="32D35B4E" w14:textId="77777777" w:rsidR="001822EC" w:rsidRPr="003272B0" w:rsidRDefault="001822EC" w:rsidP="002E1843">
      <w:pPr>
        <w:spacing w:line="480" w:lineRule="auto"/>
        <w:rPr>
          <w:color w:val="000000" w:themeColor="text1"/>
          <w:sz w:val="22"/>
          <w:szCs w:val="22"/>
        </w:rPr>
      </w:pPr>
    </w:p>
    <w:p w14:paraId="3591DB25" w14:textId="3FADA180" w:rsidR="003F4A79" w:rsidRPr="003272B0" w:rsidRDefault="001822EC" w:rsidP="002E1843">
      <w:pPr>
        <w:spacing w:line="480" w:lineRule="auto"/>
        <w:ind w:left="720"/>
        <w:rPr>
          <w:color w:val="000000" w:themeColor="text1"/>
          <w:sz w:val="22"/>
          <w:szCs w:val="22"/>
        </w:rPr>
      </w:pPr>
      <w:r w:rsidRPr="003272B0">
        <w:rPr>
          <w:color w:val="000000" w:themeColor="text1"/>
          <w:sz w:val="22"/>
          <w:szCs w:val="22"/>
        </w:rPr>
        <w:t>On the morning of 24 August 2018</w:t>
      </w:r>
      <w:r w:rsidR="00C81370" w:rsidRPr="003272B0">
        <w:rPr>
          <w:color w:val="000000" w:themeColor="text1"/>
          <w:sz w:val="22"/>
          <w:szCs w:val="22"/>
        </w:rPr>
        <w:t xml:space="preserve">, </w:t>
      </w:r>
      <w:r w:rsidR="003F4A79" w:rsidRPr="003272B0">
        <w:rPr>
          <w:color w:val="000000" w:themeColor="text1"/>
          <w:sz w:val="22"/>
          <w:szCs w:val="22"/>
        </w:rPr>
        <w:t>the passenger vessel </w:t>
      </w:r>
      <w:proofErr w:type="spellStart"/>
      <w:r w:rsidR="003F4A79" w:rsidRPr="003272B0">
        <w:rPr>
          <w:i/>
          <w:iCs/>
          <w:color w:val="000000" w:themeColor="text1"/>
          <w:sz w:val="22"/>
          <w:szCs w:val="22"/>
        </w:rPr>
        <w:t>Akademik</w:t>
      </w:r>
      <w:proofErr w:type="spellEnd"/>
      <w:r w:rsidR="003F4A79" w:rsidRPr="003272B0">
        <w:rPr>
          <w:i/>
          <w:iCs/>
          <w:color w:val="000000" w:themeColor="text1"/>
          <w:sz w:val="22"/>
          <w:szCs w:val="22"/>
        </w:rPr>
        <w:t xml:space="preserve"> </w:t>
      </w:r>
      <w:proofErr w:type="spellStart"/>
      <w:r w:rsidR="003F4A79" w:rsidRPr="003272B0">
        <w:rPr>
          <w:i/>
          <w:iCs/>
          <w:color w:val="000000" w:themeColor="text1"/>
          <w:sz w:val="22"/>
          <w:szCs w:val="22"/>
        </w:rPr>
        <w:t>Ioffe</w:t>
      </w:r>
      <w:proofErr w:type="spellEnd"/>
      <w:r w:rsidR="003F4A79" w:rsidRPr="003272B0">
        <w:rPr>
          <w:color w:val="000000" w:themeColor="text1"/>
          <w:sz w:val="22"/>
          <w:szCs w:val="22"/>
        </w:rPr>
        <w:t xml:space="preserve"> ran around 78 nautical miles north northwest of </w:t>
      </w:r>
      <w:proofErr w:type="spellStart"/>
      <w:r w:rsidR="003F4A79" w:rsidRPr="003272B0">
        <w:rPr>
          <w:color w:val="000000" w:themeColor="text1"/>
          <w:sz w:val="22"/>
          <w:szCs w:val="22"/>
        </w:rPr>
        <w:t>Kugaaruk</w:t>
      </w:r>
      <w:proofErr w:type="spellEnd"/>
      <w:r w:rsidR="003F4A79" w:rsidRPr="003272B0">
        <w:rPr>
          <w:color w:val="000000" w:themeColor="text1"/>
          <w:sz w:val="22"/>
          <w:szCs w:val="22"/>
        </w:rPr>
        <w:t>, Nunavut, with 163 people on board. The vessel sustained major hull damage. Three ballast water tanks and two bunker fuel oil tanks were breached and took on water. Approximately 80 litres of fuel oil were released. No injuries were reported. The vessel was refloated the next day and the passengers were evacuated to the vessel </w:t>
      </w:r>
      <w:proofErr w:type="spellStart"/>
      <w:r w:rsidR="003F4A79" w:rsidRPr="003272B0">
        <w:rPr>
          <w:i/>
          <w:iCs/>
          <w:color w:val="000000" w:themeColor="text1"/>
          <w:sz w:val="22"/>
          <w:szCs w:val="22"/>
        </w:rPr>
        <w:t>Akademik</w:t>
      </w:r>
      <w:proofErr w:type="spellEnd"/>
      <w:r w:rsidR="003F4A79" w:rsidRPr="003272B0">
        <w:rPr>
          <w:i/>
          <w:iCs/>
          <w:color w:val="000000" w:themeColor="text1"/>
          <w:sz w:val="22"/>
          <w:szCs w:val="22"/>
        </w:rPr>
        <w:t xml:space="preserve"> Sergey Vavilov</w:t>
      </w:r>
      <w:r w:rsidR="003F4A79" w:rsidRPr="003272B0">
        <w:rPr>
          <w:color w:val="000000" w:themeColor="text1"/>
          <w:sz w:val="22"/>
          <w:szCs w:val="22"/>
        </w:rPr>
        <w:t>. </w:t>
      </w:r>
      <w:r w:rsidR="00B466D8" w:rsidRPr="003272B0">
        <w:rPr>
          <w:color w:val="000000" w:themeColor="text1"/>
          <w:sz w:val="22"/>
          <w:szCs w:val="22"/>
        </w:rPr>
        <w:t>It was estimated the rescue costs</w:t>
      </w:r>
      <w:r w:rsidR="009B084B" w:rsidRPr="003272B0">
        <w:rPr>
          <w:color w:val="000000" w:themeColor="text1"/>
          <w:sz w:val="22"/>
          <w:szCs w:val="22"/>
        </w:rPr>
        <w:t xml:space="preserve"> the Canadian </w:t>
      </w:r>
      <w:r w:rsidR="0018616F" w:rsidRPr="003272B0">
        <w:rPr>
          <w:color w:val="000000" w:themeColor="text1"/>
          <w:sz w:val="22"/>
          <w:szCs w:val="22"/>
        </w:rPr>
        <w:t>Coast Guard</w:t>
      </w:r>
      <w:r w:rsidR="00B466D8" w:rsidRPr="003272B0">
        <w:rPr>
          <w:color w:val="000000" w:themeColor="text1"/>
          <w:sz w:val="22"/>
          <w:szCs w:val="22"/>
        </w:rPr>
        <w:t xml:space="preserve"> $513,205 </w:t>
      </w:r>
      <w:r w:rsidR="0018616F" w:rsidRPr="003272B0">
        <w:rPr>
          <w:color w:val="000000" w:themeColor="text1"/>
          <w:sz w:val="22"/>
          <w:szCs w:val="22"/>
        </w:rPr>
        <w:t>in this rescue</w:t>
      </w:r>
      <w:r w:rsidR="00161D73" w:rsidRPr="003272B0">
        <w:rPr>
          <w:color w:val="000000" w:themeColor="text1"/>
          <w:sz w:val="22"/>
          <w:szCs w:val="22"/>
        </w:rPr>
        <w:t>.</w:t>
      </w:r>
      <w:r w:rsidR="00E110AA" w:rsidRPr="003272B0">
        <w:rPr>
          <w:rStyle w:val="FootnoteReference"/>
          <w:color w:val="000000" w:themeColor="text1"/>
          <w:sz w:val="22"/>
          <w:szCs w:val="22"/>
        </w:rPr>
        <w:footnoteReference w:id="5"/>
      </w:r>
      <w:r w:rsidR="009126BC" w:rsidRPr="003272B0">
        <w:rPr>
          <w:rStyle w:val="FootnoteReference"/>
          <w:color w:val="000000" w:themeColor="text1"/>
          <w:sz w:val="22"/>
          <w:szCs w:val="22"/>
        </w:rPr>
        <w:footnoteReference w:id="6"/>
      </w:r>
    </w:p>
    <w:p w14:paraId="12C31B7F" w14:textId="3823A6E4" w:rsidR="00ED1411" w:rsidRPr="003272B0" w:rsidRDefault="00ED1411" w:rsidP="002E1843">
      <w:pPr>
        <w:spacing w:line="480" w:lineRule="auto"/>
        <w:rPr>
          <w:color w:val="000000" w:themeColor="text1"/>
          <w:sz w:val="22"/>
          <w:szCs w:val="22"/>
        </w:rPr>
      </w:pPr>
      <w:r w:rsidRPr="003272B0">
        <w:rPr>
          <w:color w:val="000000" w:themeColor="text1"/>
          <w:sz w:val="22"/>
          <w:szCs w:val="22"/>
        </w:rPr>
        <w:t xml:space="preserve"> </w:t>
      </w:r>
    </w:p>
    <w:p w14:paraId="2A1A83E8" w14:textId="0CB33EE1" w:rsidR="00F20F9D" w:rsidRPr="003272B0" w:rsidRDefault="00F87C97" w:rsidP="002E1843">
      <w:pPr>
        <w:spacing w:line="480" w:lineRule="auto"/>
        <w:rPr>
          <w:color w:val="000000" w:themeColor="text1"/>
          <w:sz w:val="22"/>
          <w:szCs w:val="22"/>
        </w:rPr>
      </w:pPr>
      <w:r w:rsidRPr="003272B0">
        <w:rPr>
          <w:color w:val="000000" w:themeColor="text1"/>
          <w:sz w:val="22"/>
          <w:szCs w:val="22"/>
        </w:rPr>
        <w:t>With continuous efforts in maritime safety management and regulation, maritime casualties have been significant decreased since early 20</w:t>
      </w:r>
      <w:r w:rsidRPr="003272B0">
        <w:rPr>
          <w:color w:val="000000" w:themeColor="text1"/>
          <w:sz w:val="22"/>
          <w:szCs w:val="22"/>
          <w:vertAlign w:val="superscript"/>
        </w:rPr>
        <w:t>th</w:t>
      </w:r>
      <w:r w:rsidRPr="003272B0">
        <w:rPr>
          <w:color w:val="000000" w:themeColor="text1"/>
          <w:sz w:val="22"/>
          <w:szCs w:val="22"/>
        </w:rPr>
        <w:t xml:space="preserve"> century. Ho</w:t>
      </w:r>
      <w:r w:rsidR="00BD4EDB" w:rsidRPr="003272B0">
        <w:rPr>
          <w:color w:val="000000" w:themeColor="text1"/>
          <w:sz w:val="22"/>
          <w:szCs w:val="22"/>
        </w:rPr>
        <w:t>wever, as illustrated in the</w:t>
      </w:r>
      <w:r w:rsidR="001D500A" w:rsidRPr="003272B0">
        <w:rPr>
          <w:color w:val="000000" w:themeColor="text1"/>
          <w:sz w:val="22"/>
          <w:szCs w:val="22"/>
        </w:rPr>
        <w:t xml:space="preserve"> three cases </w:t>
      </w:r>
      <w:r w:rsidR="00BD4EDB" w:rsidRPr="003272B0">
        <w:rPr>
          <w:color w:val="000000" w:themeColor="text1"/>
          <w:sz w:val="22"/>
          <w:szCs w:val="22"/>
        </w:rPr>
        <w:t xml:space="preserve">above, </w:t>
      </w:r>
      <w:r w:rsidR="000311F5" w:rsidRPr="003272B0">
        <w:rPr>
          <w:color w:val="000000" w:themeColor="text1"/>
          <w:sz w:val="22"/>
          <w:szCs w:val="22"/>
        </w:rPr>
        <w:t>significant marine risk</w:t>
      </w:r>
      <w:r w:rsidR="00521F4C" w:rsidRPr="003272B0">
        <w:rPr>
          <w:color w:val="000000" w:themeColor="text1"/>
          <w:sz w:val="22"/>
          <w:szCs w:val="22"/>
        </w:rPr>
        <w:t>s</w:t>
      </w:r>
      <w:r w:rsidR="000311F5" w:rsidRPr="003272B0">
        <w:rPr>
          <w:color w:val="000000" w:themeColor="text1"/>
          <w:sz w:val="22"/>
          <w:szCs w:val="22"/>
        </w:rPr>
        <w:t xml:space="preserve"> </w:t>
      </w:r>
      <w:r w:rsidR="00112E82" w:rsidRPr="003272B0">
        <w:rPr>
          <w:color w:val="000000" w:themeColor="text1"/>
          <w:sz w:val="22"/>
          <w:szCs w:val="22"/>
        </w:rPr>
        <w:t>still</w:t>
      </w:r>
      <w:r w:rsidR="000311F5" w:rsidRPr="003272B0">
        <w:rPr>
          <w:color w:val="000000" w:themeColor="text1"/>
          <w:sz w:val="22"/>
          <w:szCs w:val="22"/>
        </w:rPr>
        <w:t xml:space="preserve"> exist </w:t>
      </w:r>
      <w:r w:rsidR="00FC4C0D" w:rsidRPr="003272B0">
        <w:rPr>
          <w:color w:val="000000" w:themeColor="text1"/>
          <w:sz w:val="22"/>
          <w:szCs w:val="22"/>
        </w:rPr>
        <w:t xml:space="preserve">in </w:t>
      </w:r>
      <w:r w:rsidR="000311F5" w:rsidRPr="003272B0">
        <w:rPr>
          <w:color w:val="000000" w:themeColor="text1"/>
          <w:sz w:val="22"/>
          <w:szCs w:val="22"/>
        </w:rPr>
        <w:t xml:space="preserve">the Canadian </w:t>
      </w:r>
      <w:r w:rsidR="000311F5" w:rsidRPr="003272B0">
        <w:rPr>
          <w:color w:val="000000" w:themeColor="text1"/>
          <w:sz w:val="22"/>
          <w:szCs w:val="22"/>
        </w:rPr>
        <w:lastRenderedPageBreak/>
        <w:t xml:space="preserve">waters. </w:t>
      </w:r>
      <w:r w:rsidR="006415C2" w:rsidRPr="003272B0">
        <w:rPr>
          <w:color w:val="000000" w:themeColor="text1"/>
          <w:sz w:val="22"/>
          <w:szCs w:val="22"/>
        </w:rPr>
        <w:t>Seafarers, fishing harvesters are facing considerable risk of workplace injuries and death at sea. In addition, with the opening of the Arctic,</w:t>
      </w:r>
      <w:r w:rsidR="00FB43BD" w:rsidRPr="003272B0">
        <w:rPr>
          <w:color w:val="000000" w:themeColor="text1"/>
          <w:sz w:val="22"/>
          <w:szCs w:val="22"/>
        </w:rPr>
        <w:t xml:space="preserve"> </w:t>
      </w:r>
      <w:r w:rsidR="00223A8E" w:rsidRPr="003272B0">
        <w:rPr>
          <w:color w:val="000000" w:themeColor="text1"/>
          <w:sz w:val="22"/>
          <w:szCs w:val="22"/>
        </w:rPr>
        <w:t>unpredictable</w:t>
      </w:r>
      <w:r w:rsidR="00481720" w:rsidRPr="003272B0">
        <w:rPr>
          <w:color w:val="000000" w:themeColor="text1"/>
          <w:sz w:val="22"/>
          <w:szCs w:val="22"/>
        </w:rPr>
        <w:t xml:space="preserve"> challenges in the polar navigation environment</w:t>
      </w:r>
      <w:r w:rsidR="00ED47D1" w:rsidRPr="003272B0">
        <w:rPr>
          <w:color w:val="000000" w:themeColor="text1"/>
          <w:sz w:val="22"/>
          <w:szCs w:val="22"/>
        </w:rPr>
        <w:t xml:space="preserve"> threaten the </w:t>
      </w:r>
      <w:r w:rsidR="0083783A" w:rsidRPr="003272B0">
        <w:rPr>
          <w:color w:val="000000" w:themeColor="text1"/>
          <w:sz w:val="22"/>
          <w:szCs w:val="22"/>
        </w:rPr>
        <w:t xml:space="preserve">health and safety of maritime workers as well as passengers. </w:t>
      </w:r>
    </w:p>
    <w:p w14:paraId="1314DCFF" w14:textId="77777777" w:rsidR="00DB45A7" w:rsidRPr="003272B0" w:rsidRDefault="00DB45A7" w:rsidP="002E1843">
      <w:pPr>
        <w:spacing w:line="480" w:lineRule="auto"/>
        <w:rPr>
          <w:color w:val="000000" w:themeColor="text1"/>
          <w:sz w:val="22"/>
          <w:szCs w:val="22"/>
        </w:rPr>
      </w:pPr>
    </w:p>
    <w:p w14:paraId="2E722A35" w14:textId="66FC405A" w:rsidR="00207E20" w:rsidRPr="003272B0" w:rsidRDefault="00341B87" w:rsidP="002E1843">
      <w:pPr>
        <w:spacing w:line="480" w:lineRule="auto"/>
        <w:rPr>
          <w:color w:val="000000" w:themeColor="text1"/>
          <w:sz w:val="22"/>
          <w:szCs w:val="22"/>
        </w:rPr>
      </w:pPr>
      <w:r w:rsidRPr="003272B0">
        <w:rPr>
          <w:color w:val="000000" w:themeColor="text1"/>
          <w:sz w:val="22"/>
          <w:szCs w:val="22"/>
        </w:rPr>
        <w:t>With the development of technology,</w:t>
      </w:r>
      <w:r w:rsidR="00D15A66" w:rsidRPr="003272B0">
        <w:rPr>
          <w:color w:val="000000" w:themeColor="text1"/>
          <w:sz w:val="22"/>
          <w:szCs w:val="22"/>
        </w:rPr>
        <w:t xml:space="preserve"> increasing </w:t>
      </w:r>
      <w:r w:rsidRPr="003272B0">
        <w:rPr>
          <w:color w:val="000000" w:themeColor="text1"/>
          <w:sz w:val="22"/>
          <w:szCs w:val="22"/>
        </w:rPr>
        <w:t>working activ</w:t>
      </w:r>
      <w:r w:rsidR="0009623B" w:rsidRPr="003272B0">
        <w:rPr>
          <w:color w:val="000000" w:themeColor="text1"/>
          <w:sz w:val="22"/>
          <w:szCs w:val="22"/>
        </w:rPr>
        <w:t xml:space="preserve">ities </w:t>
      </w:r>
      <w:r w:rsidR="004418F7" w:rsidRPr="003272B0">
        <w:rPr>
          <w:color w:val="000000" w:themeColor="text1"/>
          <w:sz w:val="22"/>
          <w:szCs w:val="22"/>
        </w:rPr>
        <w:t xml:space="preserve">are conducted </w:t>
      </w:r>
      <w:r w:rsidR="0009623B" w:rsidRPr="003272B0">
        <w:rPr>
          <w:color w:val="000000" w:themeColor="text1"/>
          <w:sz w:val="22"/>
          <w:szCs w:val="22"/>
        </w:rPr>
        <w:t xml:space="preserve">at sea. In addition to traditional shipping and fishing undertakings, </w:t>
      </w:r>
      <w:r w:rsidR="00654BD9" w:rsidRPr="003272B0">
        <w:rPr>
          <w:color w:val="000000" w:themeColor="text1"/>
          <w:sz w:val="22"/>
          <w:szCs w:val="22"/>
        </w:rPr>
        <w:t>cruise shipping</w:t>
      </w:r>
      <w:r w:rsidR="00707360" w:rsidRPr="003272B0">
        <w:rPr>
          <w:color w:val="000000" w:themeColor="text1"/>
          <w:sz w:val="22"/>
          <w:szCs w:val="22"/>
        </w:rPr>
        <w:t>,</w:t>
      </w:r>
      <w:r w:rsidR="00654BD9" w:rsidRPr="003272B0">
        <w:rPr>
          <w:color w:val="000000" w:themeColor="text1"/>
          <w:sz w:val="22"/>
          <w:szCs w:val="22"/>
        </w:rPr>
        <w:t xml:space="preserve"> </w:t>
      </w:r>
      <w:r w:rsidR="00917597" w:rsidRPr="003272B0">
        <w:rPr>
          <w:color w:val="000000" w:themeColor="text1"/>
          <w:sz w:val="22"/>
          <w:szCs w:val="22"/>
        </w:rPr>
        <w:t xml:space="preserve">offshore oil and gas exploration, deep sea mining and </w:t>
      </w:r>
      <w:r w:rsidR="00707360" w:rsidRPr="003272B0">
        <w:rPr>
          <w:color w:val="000000" w:themeColor="text1"/>
          <w:sz w:val="22"/>
          <w:szCs w:val="22"/>
        </w:rPr>
        <w:t xml:space="preserve">ocean </w:t>
      </w:r>
      <w:r w:rsidR="00917597" w:rsidRPr="003272B0">
        <w:rPr>
          <w:color w:val="000000" w:themeColor="text1"/>
          <w:sz w:val="22"/>
          <w:szCs w:val="22"/>
        </w:rPr>
        <w:t xml:space="preserve">research activities are </w:t>
      </w:r>
      <w:r w:rsidR="00654BD9" w:rsidRPr="003272B0">
        <w:rPr>
          <w:color w:val="000000" w:themeColor="text1"/>
          <w:sz w:val="22"/>
          <w:szCs w:val="22"/>
        </w:rPr>
        <w:t>increasing</w:t>
      </w:r>
      <w:r w:rsidR="001E723E" w:rsidRPr="003272B0">
        <w:rPr>
          <w:color w:val="000000" w:themeColor="text1"/>
          <w:sz w:val="22"/>
          <w:szCs w:val="22"/>
        </w:rPr>
        <w:t>.</w:t>
      </w:r>
      <w:r w:rsidR="00B67AED" w:rsidRPr="003272B0">
        <w:rPr>
          <w:rStyle w:val="FootnoteReference"/>
          <w:color w:val="000000" w:themeColor="text1"/>
          <w:sz w:val="22"/>
          <w:szCs w:val="22"/>
        </w:rPr>
        <w:footnoteReference w:id="7"/>
      </w:r>
      <w:r w:rsidR="00AF14D6" w:rsidRPr="003272B0">
        <w:rPr>
          <w:color w:val="000000" w:themeColor="text1"/>
          <w:sz w:val="22"/>
          <w:szCs w:val="22"/>
        </w:rPr>
        <w:t xml:space="preserve"> </w:t>
      </w:r>
      <w:r w:rsidR="00654BD9" w:rsidRPr="003272B0">
        <w:rPr>
          <w:color w:val="000000" w:themeColor="text1"/>
          <w:sz w:val="22"/>
          <w:szCs w:val="22"/>
        </w:rPr>
        <w:t xml:space="preserve">In Canada, a significant increase of Arctic maritime activities can </w:t>
      </w:r>
      <w:r w:rsidR="00A77EE8" w:rsidRPr="003272B0">
        <w:rPr>
          <w:color w:val="000000" w:themeColor="text1"/>
          <w:sz w:val="22"/>
          <w:szCs w:val="22"/>
        </w:rPr>
        <w:t xml:space="preserve">also </w:t>
      </w:r>
      <w:r w:rsidR="00654BD9" w:rsidRPr="003272B0">
        <w:rPr>
          <w:color w:val="000000" w:themeColor="text1"/>
          <w:sz w:val="22"/>
          <w:szCs w:val="22"/>
        </w:rPr>
        <w:t>be observed</w:t>
      </w:r>
      <w:r w:rsidR="00F74100" w:rsidRPr="003272B0">
        <w:rPr>
          <w:color w:val="000000" w:themeColor="text1"/>
          <w:sz w:val="22"/>
          <w:szCs w:val="22"/>
        </w:rPr>
        <w:t>.</w:t>
      </w:r>
      <w:r w:rsidR="00A77EE8" w:rsidRPr="003272B0">
        <w:rPr>
          <w:rStyle w:val="FootnoteReference"/>
          <w:color w:val="000000" w:themeColor="text1"/>
          <w:sz w:val="22"/>
          <w:szCs w:val="22"/>
        </w:rPr>
        <w:footnoteReference w:id="8"/>
      </w:r>
      <w:r w:rsidR="00654BD9" w:rsidRPr="003272B0">
        <w:rPr>
          <w:color w:val="000000" w:themeColor="text1"/>
          <w:sz w:val="22"/>
          <w:szCs w:val="22"/>
        </w:rPr>
        <w:t xml:space="preserve"> </w:t>
      </w:r>
      <w:r w:rsidR="00215CD3" w:rsidRPr="003272B0">
        <w:rPr>
          <w:color w:val="000000" w:themeColor="text1"/>
          <w:sz w:val="22"/>
          <w:szCs w:val="22"/>
        </w:rPr>
        <w:t>Working at sea may encounter different types of challenges</w:t>
      </w:r>
      <w:r w:rsidR="009475B6" w:rsidRPr="003272B0">
        <w:rPr>
          <w:color w:val="000000" w:themeColor="text1"/>
          <w:sz w:val="22"/>
          <w:szCs w:val="22"/>
        </w:rPr>
        <w:t>, including environmental hazards, weather challenges, workplace injuries and infectious diseases</w:t>
      </w:r>
      <w:r w:rsidR="00F74100" w:rsidRPr="003272B0">
        <w:rPr>
          <w:color w:val="000000" w:themeColor="text1"/>
          <w:sz w:val="22"/>
          <w:szCs w:val="22"/>
        </w:rPr>
        <w:t>.</w:t>
      </w:r>
      <w:r w:rsidR="00370881" w:rsidRPr="003272B0">
        <w:rPr>
          <w:rStyle w:val="FootnoteReference"/>
          <w:color w:val="000000" w:themeColor="text1"/>
          <w:sz w:val="22"/>
          <w:szCs w:val="22"/>
        </w:rPr>
        <w:footnoteReference w:id="9"/>
      </w:r>
      <w:r w:rsidR="009475B6" w:rsidRPr="003272B0">
        <w:rPr>
          <w:color w:val="000000" w:themeColor="text1"/>
          <w:sz w:val="22"/>
          <w:szCs w:val="22"/>
        </w:rPr>
        <w:t xml:space="preserve"> </w:t>
      </w:r>
      <w:r w:rsidR="00207E20" w:rsidRPr="003272B0">
        <w:rPr>
          <w:color w:val="000000" w:themeColor="text1"/>
          <w:sz w:val="22"/>
          <w:szCs w:val="22"/>
        </w:rPr>
        <w:t xml:space="preserve">Marine health and safety issues start to attract more and more </w:t>
      </w:r>
      <w:r w:rsidR="00A870B3" w:rsidRPr="003272B0">
        <w:rPr>
          <w:color w:val="000000" w:themeColor="text1"/>
          <w:sz w:val="22"/>
          <w:szCs w:val="22"/>
        </w:rPr>
        <w:t xml:space="preserve">regulatory </w:t>
      </w:r>
      <w:r w:rsidR="00207E20" w:rsidRPr="003272B0">
        <w:rPr>
          <w:color w:val="000000" w:themeColor="text1"/>
          <w:sz w:val="22"/>
          <w:szCs w:val="22"/>
        </w:rPr>
        <w:t xml:space="preserve">attention at both of the international and national levels. </w:t>
      </w:r>
    </w:p>
    <w:p w14:paraId="29BB316F" w14:textId="70A19D59" w:rsidR="00B263F5" w:rsidRPr="003272B0" w:rsidRDefault="00B263F5" w:rsidP="002E1843">
      <w:pPr>
        <w:spacing w:line="480" w:lineRule="auto"/>
        <w:rPr>
          <w:color w:val="000000" w:themeColor="text1"/>
          <w:sz w:val="22"/>
          <w:szCs w:val="22"/>
        </w:rPr>
      </w:pPr>
    </w:p>
    <w:p w14:paraId="671C7655" w14:textId="5C4E7D68" w:rsidR="00B263F5" w:rsidRPr="003272B0" w:rsidRDefault="00B263F5" w:rsidP="002E1843">
      <w:pPr>
        <w:spacing w:line="480" w:lineRule="auto"/>
        <w:rPr>
          <w:color w:val="000000" w:themeColor="text1"/>
          <w:sz w:val="22"/>
          <w:szCs w:val="22"/>
        </w:rPr>
      </w:pPr>
      <w:r w:rsidRPr="003272B0">
        <w:rPr>
          <w:color w:val="000000" w:themeColor="text1"/>
          <w:sz w:val="22"/>
          <w:szCs w:val="22"/>
        </w:rPr>
        <w:t>In recent years, international maritime legal instruments have gradually incorporated more and more labour and occupational health and safety protection provisions. For example, the Maritime Labour Convention 2006 provides health and safety representation rights on board</w:t>
      </w:r>
      <w:r w:rsidR="00D15A66" w:rsidRPr="003272B0">
        <w:rPr>
          <w:rStyle w:val="FootnoteReference"/>
          <w:color w:val="000000" w:themeColor="text1"/>
          <w:sz w:val="22"/>
          <w:szCs w:val="22"/>
        </w:rPr>
        <w:footnoteReference w:id="10"/>
      </w:r>
      <w:r w:rsidRPr="003272B0">
        <w:rPr>
          <w:color w:val="000000" w:themeColor="text1"/>
          <w:sz w:val="22"/>
          <w:szCs w:val="22"/>
        </w:rPr>
        <w:t xml:space="preserve">. Meanwhile, the definition of seafarers </w:t>
      </w:r>
      <w:r w:rsidR="00985E94" w:rsidRPr="003272B0">
        <w:rPr>
          <w:color w:val="000000" w:themeColor="text1"/>
          <w:sz w:val="22"/>
          <w:szCs w:val="22"/>
        </w:rPr>
        <w:t>is</w:t>
      </w:r>
      <w:r w:rsidRPr="003272B0">
        <w:rPr>
          <w:color w:val="000000" w:themeColor="text1"/>
          <w:sz w:val="22"/>
          <w:szCs w:val="22"/>
        </w:rPr>
        <w:t xml:space="preserve"> expanded to any workers on board.</w:t>
      </w:r>
      <w:r w:rsidR="0002023C" w:rsidRPr="003272B0">
        <w:rPr>
          <w:color w:val="000000" w:themeColor="text1"/>
          <w:sz w:val="22"/>
          <w:szCs w:val="22"/>
        </w:rPr>
        <w:t xml:space="preserve"> </w:t>
      </w:r>
      <w:r w:rsidR="00547531" w:rsidRPr="003272B0">
        <w:rPr>
          <w:color w:val="000000" w:themeColor="text1"/>
          <w:sz w:val="22"/>
          <w:szCs w:val="22"/>
        </w:rPr>
        <w:t xml:space="preserve">On the other hand, ships navigating exclusively in inland waters and ships below 200 gross tonnage that are not carrying international voyages are not </w:t>
      </w:r>
      <w:r w:rsidR="00547531" w:rsidRPr="003272B0">
        <w:rPr>
          <w:color w:val="000000" w:themeColor="text1"/>
          <w:sz w:val="22"/>
          <w:szCs w:val="22"/>
        </w:rPr>
        <w:lastRenderedPageBreak/>
        <w:t>covered by the Maritime Labour Convention, 2006.</w:t>
      </w:r>
      <w:r w:rsidR="00547531" w:rsidRPr="003272B0">
        <w:rPr>
          <w:rStyle w:val="FootnoteReference"/>
          <w:color w:val="000000" w:themeColor="text1"/>
          <w:sz w:val="22"/>
          <w:szCs w:val="22"/>
        </w:rPr>
        <w:footnoteReference w:id="11"/>
      </w:r>
      <w:r w:rsidR="00547531" w:rsidRPr="003272B0">
        <w:rPr>
          <w:color w:val="000000" w:themeColor="text1"/>
          <w:sz w:val="22"/>
          <w:szCs w:val="22"/>
        </w:rPr>
        <w:t xml:space="preserve"> This means in Canada, there are still a number of domestic seafarers may not be covered by the labour standard of the Convention. </w:t>
      </w:r>
      <w:r w:rsidRPr="003272B0">
        <w:rPr>
          <w:rFonts w:hint="eastAsia"/>
          <w:color w:val="000000" w:themeColor="text1"/>
          <w:sz w:val="22"/>
          <w:szCs w:val="22"/>
        </w:rPr>
        <w:t>W</w:t>
      </w:r>
      <w:r w:rsidRPr="003272B0">
        <w:rPr>
          <w:color w:val="000000" w:themeColor="text1"/>
          <w:sz w:val="22"/>
          <w:szCs w:val="22"/>
        </w:rPr>
        <w:t xml:space="preserve">ith the increasing diversity of maritime activities, and maritime activities in the polar water, whether current </w:t>
      </w:r>
      <w:r w:rsidR="00985E94" w:rsidRPr="003272B0">
        <w:rPr>
          <w:color w:val="000000" w:themeColor="text1"/>
          <w:sz w:val="22"/>
          <w:szCs w:val="22"/>
        </w:rPr>
        <w:t xml:space="preserve">Canadian </w:t>
      </w:r>
      <w:r w:rsidRPr="003272B0">
        <w:rPr>
          <w:color w:val="000000" w:themeColor="text1"/>
          <w:sz w:val="22"/>
          <w:szCs w:val="22"/>
        </w:rPr>
        <w:t xml:space="preserve">legal instruments are sufficient to protect maritime workers from occupational hazards is questionable. </w:t>
      </w:r>
      <w:r w:rsidR="00985E94" w:rsidRPr="003272B0">
        <w:rPr>
          <w:color w:val="000000" w:themeColor="text1"/>
          <w:sz w:val="22"/>
          <w:szCs w:val="22"/>
        </w:rPr>
        <w:t xml:space="preserve">Canadian domestic </w:t>
      </w:r>
      <w:r w:rsidRPr="003272B0">
        <w:rPr>
          <w:color w:val="000000" w:themeColor="text1"/>
          <w:sz w:val="22"/>
          <w:szCs w:val="22"/>
        </w:rPr>
        <w:t xml:space="preserve">occupational health and safety law </w:t>
      </w:r>
      <w:r w:rsidR="00985E94" w:rsidRPr="003272B0">
        <w:rPr>
          <w:color w:val="000000" w:themeColor="text1"/>
          <w:sz w:val="22"/>
          <w:szCs w:val="22"/>
        </w:rPr>
        <w:t>provides duties of employers, employees,</w:t>
      </w:r>
      <w:r w:rsidRPr="003272B0">
        <w:rPr>
          <w:color w:val="000000" w:themeColor="text1"/>
          <w:sz w:val="22"/>
          <w:szCs w:val="22"/>
        </w:rPr>
        <w:t xml:space="preserve"> </w:t>
      </w:r>
      <w:r w:rsidR="00985E94" w:rsidRPr="003272B0">
        <w:rPr>
          <w:color w:val="000000" w:themeColor="text1"/>
          <w:sz w:val="22"/>
          <w:szCs w:val="22"/>
        </w:rPr>
        <w:t>organisations of safety committees, and disciplinary actions</w:t>
      </w:r>
      <w:r w:rsidR="00985E94" w:rsidRPr="003272B0">
        <w:rPr>
          <w:rStyle w:val="FootnoteReference"/>
          <w:color w:val="000000" w:themeColor="text1"/>
          <w:sz w:val="22"/>
          <w:szCs w:val="22"/>
        </w:rPr>
        <w:footnoteReference w:id="12"/>
      </w:r>
      <w:r w:rsidRPr="003272B0">
        <w:rPr>
          <w:color w:val="000000" w:themeColor="text1"/>
          <w:sz w:val="22"/>
          <w:szCs w:val="22"/>
        </w:rPr>
        <w:t xml:space="preserve">. </w:t>
      </w:r>
      <w:r w:rsidR="00985E94" w:rsidRPr="003272B0">
        <w:rPr>
          <w:color w:val="000000" w:themeColor="text1"/>
          <w:sz w:val="22"/>
          <w:szCs w:val="22"/>
        </w:rPr>
        <w:t>I</w:t>
      </w:r>
      <w:r w:rsidRPr="003272B0">
        <w:rPr>
          <w:color w:val="000000" w:themeColor="text1"/>
          <w:sz w:val="22"/>
          <w:szCs w:val="22"/>
        </w:rPr>
        <w:t>nternal responsibility system between workers and employers</w:t>
      </w:r>
      <w:r w:rsidR="00985E94" w:rsidRPr="003272B0">
        <w:rPr>
          <w:color w:val="000000" w:themeColor="text1"/>
          <w:sz w:val="22"/>
          <w:szCs w:val="22"/>
        </w:rPr>
        <w:t xml:space="preserve"> is the </w:t>
      </w:r>
      <w:r w:rsidR="00547531" w:rsidRPr="003272B0">
        <w:rPr>
          <w:color w:val="000000" w:themeColor="text1"/>
          <w:sz w:val="22"/>
          <w:szCs w:val="22"/>
        </w:rPr>
        <w:t xml:space="preserve">foundation </w:t>
      </w:r>
      <w:r w:rsidR="00985E94" w:rsidRPr="003272B0">
        <w:rPr>
          <w:color w:val="000000" w:themeColor="text1"/>
          <w:sz w:val="22"/>
          <w:szCs w:val="22"/>
        </w:rPr>
        <w:t>of the occupational health and safety law</w:t>
      </w:r>
      <w:r w:rsidR="00547531" w:rsidRPr="003272B0">
        <w:rPr>
          <w:color w:val="000000" w:themeColor="text1"/>
          <w:sz w:val="22"/>
          <w:szCs w:val="22"/>
        </w:rPr>
        <w:t xml:space="preserve"> in Canada</w:t>
      </w:r>
      <w:r w:rsidR="00985E94" w:rsidRPr="003272B0">
        <w:rPr>
          <w:rStyle w:val="FootnoteReference"/>
          <w:color w:val="000000" w:themeColor="text1"/>
          <w:sz w:val="22"/>
          <w:szCs w:val="22"/>
        </w:rPr>
        <w:footnoteReference w:id="13"/>
      </w:r>
      <w:r w:rsidRPr="003272B0">
        <w:rPr>
          <w:color w:val="000000" w:themeColor="text1"/>
          <w:sz w:val="22"/>
          <w:szCs w:val="22"/>
        </w:rPr>
        <w:t xml:space="preserve">. When regulating </w:t>
      </w:r>
      <w:r w:rsidR="00B121D9" w:rsidRPr="003272B0">
        <w:rPr>
          <w:color w:val="000000" w:themeColor="text1"/>
          <w:sz w:val="22"/>
          <w:szCs w:val="22"/>
        </w:rPr>
        <w:t>unprecedented</w:t>
      </w:r>
      <w:r w:rsidRPr="003272B0">
        <w:rPr>
          <w:color w:val="000000" w:themeColor="text1"/>
          <w:sz w:val="22"/>
          <w:szCs w:val="22"/>
        </w:rPr>
        <w:t xml:space="preserve"> occupational risks and hazards, whether this tradition</w:t>
      </w:r>
      <w:r w:rsidR="00985E94" w:rsidRPr="003272B0">
        <w:rPr>
          <w:rFonts w:hint="eastAsia"/>
          <w:color w:val="000000" w:themeColor="text1"/>
          <w:sz w:val="22"/>
          <w:szCs w:val="22"/>
        </w:rPr>
        <w:t>al</w:t>
      </w:r>
      <w:r w:rsidRPr="003272B0">
        <w:rPr>
          <w:color w:val="000000" w:themeColor="text1"/>
          <w:sz w:val="22"/>
          <w:szCs w:val="22"/>
        </w:rPr>
        <w:t xml:space="preserve"> internal responsibility system is sufficient is questionable. In this paper, we will take Canadian occupational health and safety law as an example, to analyse whether the current regulatory framework sufficient to provide maritime workers sufficient occupational health and safety rights. </w:t>
      </w:r>
      <w:r w:rsidR="002C6B1B" w:rsidRPr="003272B0">
        <w:rPr>
          <w:color w:val="000000" w:themeColor="text1"/>
          <w:sz w:val="22"/>
          <w:szCs w:val="22"/>
        </w:rPr>
        <w:t>T</w:t>
      </w:r>
      <w:r w:rsidRPr="003272B0">
        <w:rPr>
          <w:color w:val="000000" w:themeColor="text1"/>
          <w:sz w:val="22"/>
          <w:szCs w:val="22"/>
        </w:rPr>
        <w:t xml:space="preserve">hrough examining current Canadian occupational health and safety frameworks, the author aims to identify legal gaps existed in this area and </w:t>
      </w:r>
      <w:r w:rsidR="00B37ABD" w:rsidRPr="003272B0">
        <w:rPr>
          <w:color w:val="000000" w:themeColor="text1"/>
          <w:sz w:val="22"/>
          <w:szCs w:val="22"/>
        </w:rPr>
        <w:t>suggest</w:t>
      </w:r>
      <w:r w:rsidRPr="003272B0">
        <w:rPr>
          <w:color w:val="000000" w:themeColor="text1"/>
          <w:sz w:val="22"/>
          <w:szCs w:val="22"/>
        </w:rPr>
        <w:t xml:space="preserve"> the future legislation and governance needs to enhance marine health and safety in Canada. </w:t>
      </w:r>
    </w:p>
    <w:p w14:paraId="1AECEB5B" w14:textId="77777777" w:rsidR="00207E20" w:rsidRPr="003272B0" w:rsidRDefault="00207E20" w:rsidP="002E1843">
      <w:pPr>
        <w:spacing w:line="480" w:lineRule="auto"/>
        <w:rPr>
          <w:color w:val="000000" w:themeColor="text1"/>
          <w:sz w:val="22"/>
          <w:szCs w:val="22"/>
        </w:rPr>
      </w:pPr>
    </w:p>
    <w:p w14:paraId="62B4FE99" w14:textId="66363A67" w:rsidR="0062163E" w:rsidRPr="003272B0" w:rsidRDefault="00523D68" w:rsidP="002E1843">
      <w:pPr>
        <w:spacing w:line="480" w:lineRule="auto"/>
        <w:rPr>
          <w:color w:val="000000" w:themeColor="text1"/>
          <w:sz w:val="22"/>
          <w:szCs w:val="22"/>
        </w:rPr>
      </w:pPr>
      <w:r w:rsidRPr="003272B0">
        <w:rPr>
          <w:color w:val="000000" w:themeColor="text1"/>
          <w:sz w:val="22"/>
          <w:szCs w:val="22"/>
        </w:rPr>
        <w:t>This paper will first review the occupational hazards at sea</w:t>
      </w:r>
      <w:r w:rsidR="00D2010A" w:rsidRPr="003272B0">
        <w:rPr>
          <w:color w:val="000000" w:themeColor="text1"/>
          <w:sz w:val="22"/>
          <w:szCs w:val="22"/>
        </w:rPr>
        <w:t xml:space="preserve"> and also discuss the challenges Canadian seafarers confront in the short-sea shipping sector as well as in the Arctic shipping.</w:t>
      </w:r>
      <w:r w:rsidR="0095086D" w:rsidRPr="003272B0">
        <w:rPr>
          <w:color w:val="000000" w:themeColor="text1"/>
          <w:sz w:val="22"/>
          <w:szCs w:val="22"/>
        </w:rPr>
        <w:t xml:space="preserve"> Secondly, the fundamental principle of occupational health and safety law will be explained. Thirdly, the Canadian maritime occupational health and safety </w:t>
      </w:r>
      <w:r w:rsidR="00D77484" w:rsidRPr="003272B0">
        <w:rPr>
          <w:color w:val="000000" w:themeColor="text1"/>
          <w:sz w:val="22"/>
          <w:szCs w:val="22"/>
        </w:rPr>
        <w:t xml:space="preserve">law </w:t>
      </w:r>
      <w:r w:rsidR="00F56122" w:rsidRPr="003272B0">
        <w:rPr>
          <w:color w:val="000000" w:themeColor="text1"/>
          <w:sz w:val="22"/>
          <w:szCs w:val="22"/>
        </w:rPr>
        <w:t>will be examined. Then</w:t>
      </w:r>
      <w:r w:rsidR="004A07F8" w:rsidRPr="003272B0">
        <w:rPr>
          <w:color w:val="000000" w:themeColor="text1"/>
          <w:sz w:val="22"/>
          <w:szCs w:val="22"/>
        </w:rPr>
        <w:t>, referring to the international legal development in the maritime occupational health and safety law,</w:t>
      </w:r>
      <w:r w:rsidR="00F56122" w:rsidRPr="003272B0">
        <w:rPr>
          <w:color w:val="000000" w:themeColor="text1"/>
          <w:sz w:val="22"/>
          <w:szCs w:val="22"/>
        </w:rPr>
        <w:t xml:space="preserve"> </w:t>
      </w:r>
      <w:r w:rsidR="004C088A" w:rsidRPr="003272B0">
        <w:rPr>
          <w:color w:val="000000" w:themeColor="text1"/>
          <w:sz w:val="22"/>
          <w:szCs w:val="22"/>
        </w:rPr>
        <w:t xml:space="preserve">together with the new occupational health </w:t>
      </w:r>
      <w:r w:rsidR="004C088A" w:rsidRPr="003272B0">
        <w:rPr>
          <w:color w:val="000000" w:themeColor="text1"/>
          <w:sz w:val="22"/>
          <w:szCs w:val="22"/>
        </w:rPr>
        <w:lastRenderedPageBreak/>
        <w:t xml:space="preserve">and safety hazards emerging in Canada, </w:t>
      </w:r>
      <w:r w:rsidR="00F56122" w:rsidRPr="003272B0">
        <w:rPr>
          <w:color w:val="000000" w:themeColor="text1"/>
          <w:sz w:val="22"/>
          <w:szCs w:val="22"/>
        </w:rPr>
        <w:t xml:space="preserve">the gaps and needs to enhance marine health and safety law will be discussed and some policy recommendations will also be given. </w:t>
      </w:r>
      <w:r w:rsidR="008058BC" w:rsidRPr="003272B0">
        <w:rPr>
          <w:color w:val="000000" w:themeColor="text1"/>
          <w:sz w:val="22"/>
          <w:szCs w:val="22"/>
        </w:rPr>
        <w:t>Considering the complexity of occupational health and safety issues in the shipping industry, which is argued to range from technical requirements of ships and equipment on board, training and crewing, occupational medicine, and psychological and behavioural aspects of safety management, this paper cannot exhaust all these aspects. This research aims to address the marine occupational health and safety needs from a socio-legal perspective, which focuses on the core occupational health and safety protection available to Canadian workers, including the right to participate and the right to rest.</w:t>
      </w:r>
    </w:p>
    <w:p w14:paraId="1FAA18F7" w14:textId="320FF7E3" w:rsidR="00B11632" w:rsidRPr="003272B0" w:rsidRDefault="00174889" w:rsidP="002E1843">
      <w:pPr>
        <w:pStyle w:val="ListParagraph"/>
        <w:numPr>
          <w:ilvl w:val="0"/>
          <w:numId w:val="1"/>
        </w:numPr>
        <w:spacing w:line="480" w:lineRule="auto"/>
        <w:rPr>
          <w:b/>
          <w:color w:val="000000" w:themeColor="text1"/>
          <w:sz w:val="22"/>
          <w:szCs w:val="22"/>
        </w:rPr>
      </w:pPr>
      <w:r w:rsidRPr="003272B0">
        <w:rPr>
          <w:b/>
          <w:color w:val="000000" w:themeColor="text1"/>
          <w:sz w:val="22"/>
          <w:szCs w:val="22"/>
        </w:rPr>
        <w:t>OCCUPATIONAL HAZARDS AT SEA</w:t>
      </w:r>
    </w:p>
    <w:p w14:paraId="5DE5A227" w14:textId="5288BE19" w:rsidR="00147548" w:rsidRPr="003272B0" w:rsidRDefault="00B11632" w:rsidP="002E1843">
      <w:pPr>
        <w:autoSpaceDE w:val="0"/>
        <w:autoSpaceDN w:val="0"/>
        <w:adjustRightInd w:val="0"/>
        <w:spacing w:line="480" w:lineRule="auto"/>
        <w:rPr>
          <w:color w:val="000000" w:themeColor="text1"/>
          <w:sz w:val="22"/>
          <w:szCs w:val="22"/>
        </w:rPr>
      </w:pPr>
      <w:r w:rsidRPr="003272B0">
        <w:rPr>
          <w:color w:val="000000" w:themeColor="text1"/>
          <w:sz w:val="22"/>
          <w:szCs w:val="22"/>
        </w:rPr>
        <w:t xml:space="preserve">Maritime occupations, including seafaring and fishing, remain to be jobs with high risks to injuries and fatalities. </w:t>
      </w:r>
      <w:r w:rsidR="00147548" w:rsidRPr="003272B0">
        <w:rPr>
          <w:color w:val="000000" w:themeColor="text1"/>
          <w:sz w:val="22"/>
          <w:szCs w:val="22"/>
        </w:rPr>
        <w:t>A transnational study shows that 8.5% of seafarers suffered an injury during their most recent tour of duty</w:t>
      </w:r>
      <w:r w:rsidR="008E2ECA" w:rsidRPr="003272B0">
        <w:rPr>
          <w:color w:val="000000" w:themeColor="text1"/>
          <w:sz w:val="22"/>
          <w:szCs w:val="22"/>
        </w:rPr>
        <w:t>,</w:t>
      </w:r>
      <w:r w:rsidR="00147548" w:rsidRPr="003272B0">
        <w:rPr>
          <w:rStyle w:val="FootnoteReference"/>
          <w:color w:val="000000" w:themeColor="text1"/>
          <w:sz w:val="22"/>
          <w:szCs w:val="22"/>
        </w:rPr>
        <w:footnoteReference w:id="14"/>
      </w:r>
      <w:r w:rsidR="00147548" w:rsidRPr="003272B0">
        <w:rPr>
          <w:color w:val="000000" w:themeColor="text1"/>
          <w:sz w:val="22"/>
          <w:szCs w:val="22"/>
        </w:rPr>
        <w:t xml:space="preserve"> </w:t>
      </w:r>
      <w:r w:rsidR="009564BA" w:rsidRPr="003272B0">
        <w:rPr>
          <w:color w:val="000000" w:themeColor="text1"/>
          <w:sz w:val="22"/>
          <w:szCs w:val="22"/>
        </w:rPr>
        <w:t>and</w:t>
      </w:r>
      <w:r w:rsidR="00147548" w:rsidRPr="003272B0">
        <w:rPr>
          <w:color w:val="000000" w:themeColor="text1"/>
          <w:sz w:val="22"/>
          <w:szCs w:val="22"/>
        </w:rPr>
        <w:t xml:space="preserve"> a Danish study finds that the fatal accident rate in merchant shipping is ten times that in shore-based industries</w:t>
      </w:r>
      <w:r w:rsidR="008E2ECA" w:rsidRPr="003272B0">
        <w:rPr>
          <w:color w:val="000000" w:themeColor="text1"/>
          <w:sz w:val="22"/>
          <w:szCs w:val="22"/>
        </w:rPr>
        <w:t>.</w:t>
      </w:r>
      <w:r w:rsidR="00F133B3" w:rsidRPr="003272B0">
        <w:rPr>
          <w:rStyle w:val="FootnoteReference"/>
          <w:color w:val="000000" w:themeColor="text1"/>
          <w:sz w:val="22"/>
          <w:szCs w:val="22"/>
        </w:rPr>
        <w:footnoteReference w:id="15"/>
      </w:r>
      <w:r w:rsidR="008E2ECA" w:rsidRPr="003272B0">
        <w:rPr>
          <w:color w:val="000000" w:themeColor="text1"/>
          <w:sz w:val="22"/>
          <w:szCs w:val="22"/>
        </w:rPr>
        <w:t xml:space="preserve"> </w:t>
      </w:r>
      <w:r w:rsidR="00032332" w:rsidRPr="003272B0">
        <w:rPr>
          <w:color w:val="000000" w:themeColor="text1"/>
          <w:sz w:val="22"/>
          <w:szCs w:val="22"/>
        </w:rPr>
        <w:t>The fat</w:t>
      </w:r>
      <w:r w:rsidR="00F376FE" w:rsidRPr="003272B0">
        <w:rPr>
          <w:color w:val="000000" w:themeColor="text1"/>
          <w:sz w:val="22"/>
          <w:szCs w:val="22"/>
        </w:rPr>
        <w:t>al accident rate</w:t>
      </w:r>
      <w:r w:rsidR="00032332" w:rsidRPr="003272B0">
        <w:rPr>
          <w:color w:val="000000" w:themeColor="text1"/>
          <w:sz w:val="22"/>
          <w:szCs w:val="22"/>
        </w:rPr>
        <w:t xml:space="preserve"> </w:t>
      </w:r>
      <w:r w:rsidR="00E94E5F" w:rsidRPr="003272B0">
        <w:rPr>
          <w:color w:val="000000" w:themeColor="text1"/>
          <w:sz w:val="22"/>
          <w:szCs w:val="22"/>
        </w:rPr>
        <w:t xml:space="preserve">among seafarers </w:t>
      </w:r>
      <w:r w:rsidR="005D58CD" w:rsidRPr="003272B0">
        <w:rPr>
          <w:color w:val="000000" w:themeColor="text1"/>
          <w:sz w:val="22"/>
          <w:szCs w:val="22"/>
        </w:rPr>
        <w:t>was 14.5 per 100,000 workers</w:t>
      </w:r>
      <w:r w:rsidR="005A6FB7" w:rsidRPr="003272B0">
        <w:rPr>
          <w:color w:val="000000" w:themeColor="text1"/>
          <w:sz w:val="22"/>
          <w:szCs w:val="22"/>
        </w:rPr>
        <w:t xml:space="preserve"> during 2003</w:t>
      </w:r>
      <w:r w:rsidR="008A4032" w:rsidRPr="003272B0">
        <w:rPr>
          <w:color w:val="000000" w:themeColor="text1"/>
          <w:sz w:val="22"/>
          <w:szCs w:val="22"/>
        </w:rPr>
        <w:t>-2012</w:t>
      </w:r>
      <w:r w:rsidR="005D58CD" w:rsidRPr="003272B0">
        <w:rPr>
          <w:color w:val="000000" w:themeColor="text1"/>
          <w:sz w:val="22"/>
          <w:szCs w:val="22"/>
        </w:rPr>
        <w:t>, which was 21 times that in the general British workforce and 4.7 times that in the construction industry</w:t>
      </w:r>
      <w:r w:rsidR="008E2ECA" w:rsidRPr="003272B0">
        <w:rPr>
          <w:color w:val="000000" w:themeColor="text1"/>
          <w:sz w:val="22"/>
          <w:szCs w:val="22"/>
        </w:rPr>
        <w:t>.</w:t>
      </w:r>
      <w:r w:rsidR="00B71147" w:rsidRPr="003272B0">
        <w:rPr>
          <w:rStyle w:val="FootnoteReference"/>
          <w:color w:val="000000" w:themeColor="text1"/>
          <w:sz w:val="22"/>
          <w:szCs w:val="22"/>
        </w:rPr>
        <w:footnoteReference w:id="16"/>
      </w:r>
      <w:r w:rsidR="00372B20" w:rsidRPr="003272B0">
        <w:rPr>
          <w:color w:val="000000" w:themeColor="text1"/>
          <w:sz w:val="22"/>
          <w:szCs w:val="22"/>
        </w:rPr>
        <w:t xml:space="preserve"> </w:t>
      </w:r>
      <w:r w:rsidR="004E1495" w:rsidRPr="003272B0">
        <w:rPr>
          <w:color w:val="000000" w:themeColor="text1"/>
          <w:sz w:val="22"/>
          <w:szCs w:val="22"/>
        </w:rPr>
        <w:t xml:space="preserve">According to a UK study, the fatal accident rate is </w:t>
      </w:r>
      <w:r w:rsidR="00C87811" w:rsidRPr="003272B0">
        <w:rPr>
          <w:color w:val="000000" w:themeColor="text1"/>
          <w:sz w:val="22"/>
          <w:szCs w:val="22"/>
        </w:rPr>
        <w:t xml:space="preserve">102 per </w:t>
      </w:r>
      <w:r w:rsidR="00C87811" w:rsidRPr="003272B0">
        <w:rPr>
          <w:color w:val="000000" w:themeColor="text1"/>
          <w:sz w:val="22"/>
          <w:szCs w:val="22"/>
        </w:rPr>
        <w:lastRenderedPageBreak/>
        <w:t>100,000 fishermen-years, which is the most hazardous industry</w:t>
      </w:r>
      <w:r w:rsidR="005260DC" w:rsidRPr="003272B0">
        <w:rPr>
          <w:color w:val="000000" w:themeColor="text1"/>
          <w:sz w:val="22"/>
          <w:szCs w:val="22"/>
        </w:rPr>
        <w:t xml:space="preserve"> nationwide</w:t>
      </w:r>
      <w:r w:rsidR="008E2ECA" w:rsidRPr="003272B0">
        <w:rPr>
          <w:color w:val="000000" w:themeColor="text1"/>
          <w:sz w:val="22"/>
          <w:szCs w:val="22"/>
        </w:rPr>
        <w:t>.</w:t>
      </w:r>
      <w:r w:rsidR="005260DC" w:rsidRPr="003272B0">
        <w:rPr>
          <w:rStyle w:val="FootnoteReference"/>
          <w:color w:val="000000" w:themeColor="text1"/>
          <w:sz w:val="22"/>
          <w:szCs w:val="22"/>
        </w:rPr>
        <w:footnoteReference w:id="17"/>
      </w:r>
      <w:r w:rsidR="005260DC" w:rsidRPr="003272B0">
        <w:rPr>
          <w:color w:val="000000" w:themeColor="text1"/>
          <w:sz w:val="22"/>
          <w:szCs w:val="22"/>
        </w:rPr>
        <w:t xml:space="preserve"> </w:t>
      </w:r>
      <w:r w:rsidR="00713D54" w:rsidRPr="003272B0">
        <w:rPr>
          <w:color w:val="000000" w:themeColor="text1"/>
          <w:sz w:val="22"/>
          <w:szCs w:val="22"/>
        </w:rPr>
        <w:t>Through a</w:t>
      </w:r>
      <w:r w:rsidR="006D0FEE" w:rsidRPr="003272B0">
        <w:rPr>
          <w:color w:val="000000" w:themeColor="text1"/>
          <w:sz w:val="22"/>
          <w:szCs w:val="22"/>
        </w:rPr>
        <w:t>n</w:t>
      </w:r>
      <w:r w:rsidR="00713D54" w:rsidRPr="003272B0">
        <w:rPr>
          <w:color w:val="000000" w:themeColor="text1"/>
          <w:sz w:val="22"/>
          <w:szCs w:val="22"/>
        </w:rPr>
        <w:t xml:space="preserve"> international comparative study</w:t>
      </w:r>
      <w:r w:rsidR="00505A6C" w:rsidRPr="003272B0">
        <w:rPr>
          <w:color w:val="000000" w:themeColor="text1"/>
          <w:sz w:val="22"/>
          <w:szCs w:val="22"/>
        </w:rPr>
        <w:t xml:space="preserve"> in 2014</w:t>
      </w:r>
      <w:r w:rsidR="00713D54" w:rsidRPr="003272B0">
        <w:rPr>
          <w:color w:val="000000" w:themeColor="text1"/>
          <w:sz w:val="22"/>
          <w:szCs w:val="22"/>
        </w:rPr>
        <w:t xml:space="preserve">, </w:t>
      </w:r>
      <w:r w:rsidR="00505A6C" w:rsidRPr="003272B0">
        <w:rPr>
          <w:color w:val="000000" w:themeColor="text1"/>
          <w:sz w:val="22"/>
          <w:szCs w:val="22"/>
        </w:rPr>
        <w:t>the risk of fatal accident for workers in the fishing industry is about 25-50 times higher than onshore workers</w:t>
      </w:r>
      <w:r w:rsidR="008E2ECA" w:rsidRPr="003272B0">
        <w:rPr>
          <w:color w:val="000000" w:themeColor="text1"/>
          <w:sz w:val="22"/>
          <w:szCs w:val="22"/>
        </w:rPr>
        <w:t>.</w:t>
      </w:r>
      <w:r w:rsidR="00505A6C" w:rsidRPr="003272B0">
        <w:rPr>
          <w:rStyle w:val="FootnoteReference"/>
          <w:color w:val="000000" w:themeColor="text1"/>
          <w:sz w:val="22"/>
          <w:szCs w:val="22"/>
        </w:rPr>
        <w:footnoteReference w:id="18"/>
      </w:r>
    </w:p>
    <w:p w14:paraId="6A1C7D0F" w14:textId="77777777" w:rsidR="00B11632" w:rsidRPr="003272B0" w:rsidRDefault="00B11632" w:rsidP="002E1843">
      <w:pPr>
        <w:spacing w:line="480" w:lineRule="auto"/>
        <w:rPr>
          <w:color w:val="000000" w:themeColor="text1"/>
          <w:sz w:val="22"/>
          <w:szCs w:val="22"/>
        </w:rPr>
      </w:pPr>
    </w:p>
    <w:p w14:paraId="6D90B4FA" w14:textId="5B7AEFB1" w:rsidR="00EB59C2" w:rsidRPr="003272B0" w:rsidRDefault="00567810" w:rsidP="002E1843">
      <w:pPr>
        <w:spacing w:line="480" w:lineRule="auto"/>
        <w:rPr>
          <w:color w:val="000000" w:themeColor="text1"/>
          <w:sz w:val="22"/>
          <w:szCs w:val="22"/>
        </w:rPr>
      </w:pPr>
      <w:r w:rsidRPr="003272B0">
        <w:rPr>
          <w:color w:val="000000" w:themeColor="text1"/>
          <w:sz w:val="22"/>
          <w:szCs w:val="22"/>
        </w:rPr>
        <w:t xml:space="preserve">Although the fatal accident rate among seafarers are still high compared to general labour force, a clear decline trend can be identified </w:t>
      </w:r>
      <w:r w:rsidR="00352B08" w:rsidRPr="003272B0">
        <w:rPr>
          <w:color w:val="000000" w:themeColor="text1"/>
          <w:sz w:val="22"/>
          <w:szCs w:val="22"/>
        </w:rPr>
        <w:t>in the fatal rate in the second half of 20</w:t>
      </w:r>
      <w:r w:rsidR="00352B08" w:rsidRPr="003272B0">
        <w:rPr>
          <w:color w:val="000000" w:themeColor="text1"/>
          <w:sz w:val="22"/>
          <w:szCs w:val="22"/>
          <w:vertAlign w:val="superscript"/>
        </w:rPr>
        <w:t>th</w:t>
      </w:r>
      <w:r w:rsidR="00352B08" w:rsidRPr="003272B0">
        <w:rPr>
          <w:color w:val="000000" w:themeColor="text1"/>
          <w:sz w:val="22"/>
          <w:szCs w:val="22"/>
        </w:rPr>
        <w:t xml:space="preserve"> century</w:t>
      </w:r>
      <w:r w:rsidR="004B39E2" w:rsidRPr="003272B0">
        <w:rPr>
          <w:color w:val="000000" w:themeColor="text1"/>
          <w:sz w:val="22"/>
          <w:szCs w:val="22"/>
        </w:rPr>
        <w:t xml:space="preserve"> (see Figure 1)</w:t>
      </w:r>
      <w:r w:rsidR="00352B08" w:rsidRPr="003272B0">
        <w:rPr>
          <w:color w:val="000000" w:themeColor="text1"/>
          <w:sz w:val="22"/>
          <w:szCs w:val="22"/>
        </w:rPr>
        <w:t>. One major contributing factor to explain this is the</w:t>
      </w:r>
      <w:r w:rsidR="00007353" w:rsidRPr="003272B0">
        <w:rPr>
          <w:color w:val="000000" w:themeColor="text1"/>
          <w:sz w:val="22"/>
          <w:szCs w:val="22"/>
        </w:rPr>
        <w:t xml:space="preserve"> continuous regulatory efforts</w:t>
      </w:r>
      <w:r w:rsidR="00CE20B4" w:rsidRPr="003272B0">
        <w:rPr>
          <w:color w:val="000000" w:themeColor="text1"/>
          <w:sz w:val="22"/>
          <w:szCs w:val="22"/>
        </w:rPr>
        <w:t xml:space="preserve"> in maritime safety</w:t>
      </w:r>
      <w:r w:rsidR="00FA0C71" w:rsidRPr="003272B0">
        <w:rPr>
          <w:color w:val="000000" w:themeColor="text1"/>
          <w:sz w:val="22"/>
          <w:szCs w:val="22"/>
        </w:rPr>
        <w:t xml:space="preserve">, </w:t>
      </w:r>
      <w:r w:rsidR="00CE20B4" w:rsidRPr="003272B0">
        <w:rPr>
          <w:color w:val="000000" w:themeColor="text1"/>
          <w:sz w:val="22"/>
          <w:szCs w:val="22"/>
        </w:rPr>
        <w:t>through the International Maritime Organisation, as well as flag states and port states</w:t>
      </w:r>
      <w:r w:rsidR="00E13079" w:rsidRPr="003272B0">
        <w:rPr>
          <w:rStyle w:val="FootnoteReference"/>
          <w:color w:val="000000" w:themeColor="text1"/>
          <w:sz w:val="22"/>
          <w:szCs w:val="22"/>
        </w:rPr>
        <w:footnoteReference w:id="19"/>
      </w:r>
      <w:r w:rsidR="00007C14" w:rsidRPr="003272B0">
        <w:rPr>
          <w:color w:val="000000" w:themeColor="text1"/>
          <w:sz w:val="22"/>
          <w:szCs w:val="22"/>
        </w:rPr>
        <w:t>. The control of fatal accident rate</w:t>
      </w:r>
      <w:r w:rsidR="00685EBE" w:rsidRPr="003272B0">
        <w:rPr>
          <w:color w:val="000000" w:themeColor="text1"/>
          <w:sz w:val="22"/>
          <w:szCs w:val="22"/>
        </w:rPr>
        <w:t xml:space="preserve"> </w:t>
      </w:r>
      <w:r w:rsidR="004B39E2" w:rsidRPr="003272B0">
        <w:rPr>
          <w:color w:val="000000" w:themeColor="text1"/>
          <w:sz w:val="22"/>
          <w:szCs w:val="22"/>
        </w:rPr>
        <w:t xml:space="preserve">among seafarers </w:t>
      </w:r>
      <w:r w:rsidR="00396E9F" w:rsidRPr="003272B0">
        <w:rPr>
          <w:color w:val="000000" w:themeColor="text1"/>
          <w:sz w:val="22"/>
          <w:szCs w:val="22"/>
        </w:rPr>
        <w:t xml:space="preserve">indicates that through regulatory efforts, health and safety can be improved in the maritime sector. To reduce maritime injury and fatal accident rate in the fishing industry, </w:t>
      </w:r>
      <w:r w:rsidR="00D84D08" w:rsidRPr="003272B0">
        <w:rPr>
          <w:color w:val="000000" w:themeColor="text1"/>
          <w:sz w:val="22"/>
          <w:szCs w:val="22"/>
        </w:rPr>
        <w:t xml:space="preserve">regulatory efforts are necessary. </w:t>
      </w:r>
      <w:r w:rsidR="00007C14" w:rsidRPr="003272B0">
        <w:rPr>
          <w:rFonts w:hint="eastAsia"/>
          <w:color w:val="000000" w:themeColor="text1"/>
          <w:sz w:val="22"/>
          <w:szCs w:val="22"/>
        </w:rPr>
        <w:t xml:space="preserve"> </w:t>
      </w:r>
      <w:r w:rsidR="00D17776" w:rsidRPr="003272B0">
        <w:rPr>
          <w:color w:val="000000" w:themeColor="text1"/>
          <w:sz w:val="22"/>
          <w:szCs w:val="22"/>
        </w:rPr>
        <w:t xml:space="preserve"> </w:t>
      </w:r>
      <w:r w:rsidR="00FA0C71" w:rsidRPr="003272B0">
        <w:rPr>
          <w:color w:val="000000" w:themeColor="text1"/>
          <w:sz w:val="22"/>
          <w:szCs w:val="22"/>
        </w:rPr>
        <w:t xml:space="preserve"> </w:t>
      </w:r>
    </w:p>
    <w:p w14:paraId="7F2A7AC1" w14:textId="77777777" w:rsidR="00967733" w:rsidRPr="003272B0" w:rsidRDefault="00967733" w:rsidP="002E1843">
      <w:pPr>
        <w:spacing w:line="480" w:lineRule="auto"/>
        <w:rPr>
          <w:color w:val="000000" w:themeColor="text1"/>
          <w:sz w:val="22"/>
          <w:szCs w:val="22"/>
        </w:rPr>
      </w:pPr>
    </w:p>
    <w:p w14:paraId="0015FD8F" w14:textId="66AD149D" w:rsidR="00967733" w:rsidRPr="003272B0" w:rsidRDefault="00967733" w:rsidP="002A1972">
      <w:pPr>
        <w:spacing w:line="480" w:lineRule="auto"/>
        <w:jc w:val="center"/>
        <w:rPr>
          <w:color w:val="000000" w:themeColor="text1"/>
          <w:sz w:val="22"/>
          <w:szCs w:val="22"/>
        </w:rPr>
      </w:pPr>
      <w:r w:rsidRPr="003272B0">
        <w:rPr>
          <w:color w:val="000000" w:themeColor="text1"/>
          <w:sz w:val="22"/>
          <w:szCs w:val="22"/>
        </w:rPr>
        <w:t xml:space="preserve">Figure 1 </w:t>
      </w:r>
      <w:r w:rsidRPr="003272B0">
        <w:rPr>
          <w:color w:val="000000" w:themeColor="text1"/>
          <w:sz w:val="22"/>
          <w:szCs w:val="22"/>
          <w:shd w:val="clear" w:color="auto" w:fill="FFFFFF"/>
        </w:rPr>
        <w:t>Trends in fatal accident rates among seafarers employed in merchant fleets worldwide, 1945–2012</w:t>
      </w:r>
      <w:r w:rsidRPr="003272B0">
        <w:rPr>
          <w:rStyle w:val="FootnoteReference"/>
          <w:rFonts w:ascii="Source Sans Pro" w:hAnsi="Source Sans Pro"/>
          <w:color w:val="000000" w:themeColor="text1"/>
          <w:sz w:val="22"/>
          <w:szCs w:val="22"/>
          <w:shd w:val="clear" w:color="auto" w:fill="FFFFFF"/>
        </w:rPr>
        <w:footnoteReference w:id="20"/>
      </w:r>
    </w:p>
    <w:p w14:paraId="32EAB2A9" w14:textId="0C0A4CA5" w:rsidR="00882A1C" w:rsidRPr="003272B0" w:rsidRDefault="00882A1C" w:rsidP="002E1843">
      <w:pPr>
        <w:spacing w:line="480" w:lineRule="auto"/>
        <w:rPr>
          <w:color w:val="000000" w:themeColor="text1"/>
          <w:sz w:val="22"/>
          <w:szCs w:val="22"/>
        </w:rPr>
      </w:pPr>
    </w:p>
    <w:p w14:paraId="315753F1" w14:textId="4EA154E0" w:rsidR="001F21F0" w:rsidRPr="003272B0" w:rsidRDefault="007C7A32" w:rsidP="002E1843">
      <w:pPr>
        <w:spacing w:line="480" w:lineRule="auto"/>
        <w:rPr>
          <w:color w:val="000000" w:themeColor="text1"/>
          <w:sz w:val="22"/>
          <w:szCs w:val="22"/>
        </w:rPr>
      </w:pPr>
      <w:r w:rsidRPr="003272B0">
        <w:rPr>
          <w:noProof/>
          <w:color w:val="000000" w:themeColor="text1"/>
          <w:sz w:val="22"/>
          <w:szCs w:val="22"/>
        </w:rPr>
        <w:lastRenderedPageBreak/>
        <w:drawing>
          <wp:inline distT="0" distB="0" distL="0" distR="0" wp14:anchorId="1E41E421" wp14:editId="2CC6AD51">
            <wp:extent cx="3520885" cy="1909005"/>
            <wp:effectExtent l="0" t="0" r="0" b="0"/>
            <wp:docPr id="5125" name="New picture"/>
            <wp:cNvGraphicFramePr/>
            <a:graphic xmlns:a="http://schemas.openxmlformats.org/drawingml/2006/main">
              <a:graphicData uri="http://schemas.openxmlformats.org/drawingml/2006/picture">
                <pic:pic xmlns:pic="http://schemas.openxmlformats.org/drawingml/2006/picture">
                  <pic:nvPicPr>
                    <pic:cNvPr id="5125" name="New picture"/>
                    <pic:cNvPicPr/>
                  </pic:nvPicPr>
                  <pic:blipFill>
                    <a:blip r:embed="rId8"/>
                    <a:stretch>
                      <a:fillRect/>
                    </a:stretch>
                  </pic:blipFill>
                  <pic:spPr>
                    <a:xfrm>
                      <a:off x="0" y="0"/>
                      <a:ext cx="3571385" cy="1936386"/>
                    </a:xfrm>
                    <a:prstGeom prst="rect">
                      <a:avLst/>
                    </a:prstGeom>
                  </pic:spPr>
                </pic:pic>
              </a:graphicData>
            </a:graphic>
          </wp:inline>
        </w:drawing>
      </w:r>
    </w:p>
    <w:p w14:paraId="41E425B9" w14:textId="77777777" w:rsidR="00D84D08" w:rsidRPr="003272B0" w:rsidRDefault="00D84D08" w:rsidP="002E1843">
      <w:pPr>
        <w:spacing w:line="480" w:lineRule="auto"/>
        <w:rPr>
          <w:color w:val="000000" w:themeColor="text1"/>
          <w:sz w:val="22"/>
          <w:szCs w:val="22"/>
        </w:rPr>
      </w:pPr>
    </w:p>
    <w:p w14:paraId="1071F522" w14:textId="56325962" w:rsidR="00E21637" w:rsidRPr="003272B0" w:rsidRDefault="001F21F0" w:rsidP="002E1843">
      <w:pPr>
        <w:spacing w:line="480" w:lineRule="auto"/>
        <w:rPr>
          <w:color w:val="000000" w:themeColor="text1"/>
          <w:sz w:val="22"/>
          <w:szCs w:val="22"/>
        </w:rPr>
      </w:pPr>
      <w:r w:rsidRPr="003272B0">
        <w:rPr>
          <w:color w:val="000000" w:themeColor="text1"/>
          <w:sz w:val="22"/>
          <w:szCs w:val="22"/>
        </w:rPr>
        <w:t xml:space="preserve">The occupational hazards faced by maritime workers can be divided into </w:t>
      </w:r>
      <w:r w:rsidR="00823139" w:rsidRPr="003272B0">
        <w:rPr>
          <w:color w:val="000000" w:themeColor="text1"/>
          <w:sz w:val="22"/>
          <w:szCs w:val="22"/>
        </w:rPr>
        <w:t>two types, one is occupational accident, and the other is occupational disease</w:t>
      </w:r>
      <w:r w:rsidR="00264EE6" w:rsidRPr="003272B0">
        <w:rPr>
          <w:color w:val="000000" w:themeColor="text1"/>
          <w:sz w:val="22"/>
          <w:szCs w:val="22"/>
        </w:rPr>
        <w:t xml:space="preserve">, including both of </w:t>
      </w:r>
      <w:r w:rsidR="0070137F" w:rsidRPr="003272B0">
        <w:rPr>
          <w:color w:val="000000" w:themeColor="text1"/>
          <w:sz w:val="22"/>
          <w:szCs w:val="22"/>
        </w:rPr>
        <w:t>physical</w:t>
      </w:r>
      <w:r w:rsidR="0067528C" w:rsidRPr="003272B0">
        <w:rPr>
          <w:color w:val="000000" w:themeColor="text1"/>
          <w:sz w:val="22"/>
          <w:szCs w:val="22"/>
        </w:rPr>
        <w:t xml:space="preserve"> and </w:t>
      </w:r>
      <w:r w:rsidR="00A117BA" w:rsidRPr="003272B0">
        <w:rPr>
          <w:color w:val="000000" w:themeColor="text1"/>
          <w:sz w:val="22"/>
          <w:szCs w:val="22"/>
        </w:rPr>
        <w:t>mental diseases. Occupational accidents can be divided into three categories:</w:t>
      </w:r>
      <w:r w:rsidR="006D5256" w:rsidRPr="003272B0">
        <w:rPr>
          <w:color w:val="000000" w:themeColor="text1"/>
          <w:sz w:val="22"/>
          <w:szCs w:val="22"/>
        </w:rPr>
        <w:t xml:space="preserve"> first</w:t>
      </w:r>
      <w:r w:rsidR="00A56F91" w:rsidRPr="003272B0">
        <w:rPr>
          <w:color w:val="000000" w:themeColor="text1"/>
          <w:sz w:val="22"/>
          <w:szCs w:val="22"/>
        </w:rPr>
        <w:t xml:space="preserve">ly, </w:t>
      </w:r>
      <w:r w:rsidR="00A117BA" w:rsidRPr="003272B0">
        <w:rPr>
          <w:color w:val="000000" w:themeColor="text1"/>
          <w:sz w:val="22"/>
          <w:szCs w:val="22"/>
        </w:rPr>
        <w:t xml:space="preserve">accidents </w:t>
      </w:r>
      <w:r w:rsidR="00A56F91" w:rsidRPr="003272B0">
        <w:rPr>
          <w:color w:val="000000" w:themeColor="text1"/>
          <w:sz w:val="22"/>
          <w:szCs w:val="22"/>
        </w:rPr>
        <w:t xml:space="preserve">related to maritime disaster, for example, accidents or incidents involving ships, such as collision, foundering and explosion; secondly, </w:t>
      </w:r>
      <w:r w:rsidR="00A117BA" w:rsidRPr="003272B0">
        <w:rPr>
          <w:color w:val="000000" w:themeColor="text1"/>
          <w:sz w:val="22"/>
          <w:szCs w:val="22"/>
        </w:rPr>
        <w:t>on-duty accidents</w:t>
      </w:r>
      <w:r w:rsidR="00A56F91" w:rsidRPr="003272B0">
        <w:rPr>
          <w:color w:val="000000" w:themeColor="text1"/>
          <w:sz w:val="22"/>
          <w:szCs w:val="22"/>
        </w:rPr>
        <w:t xml:space="preserve">, personal accidents involving seafarers on duty, such as fracture caused </w:t>
      </w:r>
      <w:r w:rsidR="00147174" w:rsidRPr="003272B0">
        <w:rPr>
          <w:color w:val="000000" w:themeColor="text1"/>
          <w:sz w:val="22"/>
          <w:szCs w:val="22"/>
        </w:rPr>
        <w:t>by snapping mooring lines</w:t>
      </w:r>
      <w:r w:rsidR="00823139" w:rsidRPr="003272B0">
        <w:rPr>
          <w:color w:val="000000" w:themeColor="text1"/>
          <w:sz w:val="22"/>
          <w:szCs w:val="22"/>
        </w:rPr>
        <w:t xml:space="preserve">; thirdly, off-duty </w:t>
      </w:r>
      <w:r w:rsidR="00A117BA" w:rsidRPr="003272B0">
        <w:rPr>
          <w:color w:val="000000" w:themeColor="text1"/>
          <w:sz w:val="22"/>
          <w:szCs w:val="22"/>
        </w:rPr>
        <w:t xml:space="preserve">accidents, such as injuries caused by slips, trips and falls </w:t>
      </w:r>
      <w:r w:rsidR="00F02241" w:rsidRPr="003272B0">
        <w:rPr>
          <w:color w:val="000000" w:themeColor="text1"/>
          <w:sz w:val="22"/>
          <w:szCs w:val="22"/>
        </w:rPr>
        <w:t>occurred when seafarers are off duty on board</w:t>
      </w:r>
      <w:r w:rsidR="002A1972" w:rsidRPr="003272B0">
        <w:rPr>
          <w:color w:val="000000" w:themeColor="text1"/>
          <w:sz w:val="22"/>
          <w:szCs w:val="22"/>
        </w:rPr>
        <w:t>.</w:t>
      </w:r>
      <w:r w:rsidR="00BF5530" w:rsidRPr="003272B0">
        <w:rPr>
          <w:rStyle w:val="FootnoteReference"/>
          <w:color w:val="000000" w:themeColor="text1"/>
          <w:sz w:val="22"/>
          <w:szCs w:val="22"/>
        </w:rPr>
        <w:footnoteReference w:id="21"/>
      </w:r>
    </w:p>
    <w:p w14:paraId="69C6C234" w14:textId="77777777" w:rsidR="00E21637" w:rsidRPr="003272B0" w:rsidRDefault="00E21637" w:rsidP="002E1843">
      <w:pPr>
        <w:spacing w:line="480" w:lineRule="auto"/>
        <w:rPr>
          <w:color w:val="000000" w:themeColor="text1"/>
          <w:sz w:val="22"/>
          <w:szCs w:val="22"/>
        </w:rPr>
      </w:pPr>
    </w:p>
    <w:p w14:paraId="13E939E4" w14:textId="5907B78E" w:rsidR="00E43995" w:rsidRPr="003272B0" w:rsidRDefault="00E21637" w:rsidP="002E1843">
      <w:pPr>
        <w:spacing w:line="480" w:lineRule="auto"/>
        <w:rPr>
          <w:color w:val="000000" w:themeColor="text1"/>
          <w:sz w:val="22"/>
          <w:szCs w:val="22"/>
        </w:rPr>
      </w:pPr>
      <w:r w:rsidRPr="003272B0">
        <w:rPr>
          <w:color w:val="000000" w:themeColor="text1"/>
          <w:sz w:val="22"/>
          <w:szCs w:val="22"/>
        </w:rPr>
        <w:t>In the shipping industry, o</w:t>
      </w:r>
      <w:r w:rsidR="00A8547B" w:rsidRPr="003272B0">
        <w:rPr>
          <w:color w:val="000000" w:themeColor="text1"/>
          <w:sz w:val="22"/>
          <w:szCs w:val="22"/>
        </w:rPr>
        <w:t>ccupational accidents are the major causes</w:t>
      </w:r>
      <w:r w:rsidR="00B4463F" w:rsidRPr="003272B0">
        <w:rPr>
          <w:color w:val="000000" w:themeColor="text1"/>
          <w:sz w:val="22"/>
          <w:szCs w:val="22"/>
        </w:rPr>
        <w:t xml:space="preserve"> (56%)</w:t>
      </w:r>
      <w:r w:rsidR="00A8547B" w:rsidRPr="003272B0">
        <w:rPr>
          <w:color w:val="000000" w:themeColor="text1"/>
          <w:sz w:val="22"/>
          <w:szCs w:val="22"/>
        </w:rPr>
        <w:t xml:space="preserve"> to the fatalities of seafarers in the UK between </w:t>
      </w:r>
      <w:r w:rsidR="00A33136" w:rsidRPr="003272B0">
        <w:rPr>
          <w:color w:val="000000" w:themeColor="text1"/>
          <w:sz w:val="22"/>
          <w:szCs w:val="22"/>
        </w:rPr>
        <w:t>2003-12</w:t>
      </w:r>
      <w:r w:rsidR="00C33BC9" w:rsidRPr="003272B0">
        <w:rPr>
          <w:color w:val="000000" w:themeColor="text1"/>
          <w:sz w:val="22"/>
          <w:szCs w:val="22"/>
        </w:rPr>
        <w:t>; maritime disaster accidents contributes 5% and off-duty accidents con</w:t>
      </w:r>
      <w:r w:rsidR="00C7249D" w:rsidRPr="003272B0">
        <w:rPr>
          <w:color w:val="000000" w:themeColor="text1"/>
          <w:sz w:val="22"/>
          <w:szCs w:val="22"/>
        </w:rPr>
        <w:t>tribute 14% fatalities of seafarers</w:t>
      </w:r>
      <w:r w:rsidR="002A1972" w:rsidRPr="003272B0">
        <w:rPr>
          <w:color w:val="000000" w:themeColor="text1"/>
          <w:sz w:val="22"/>
          <w:szCs w:val="22"/>
        </w:rPr>
        <w:t>.</w:t>
      </w:r>
      <w:r w:rsidR="001A6E6F" w:rsidRPr="003272B0">
        <w:rPr>
          <w:rStyle w:val="FootnoteReference"/>
          <w:color w:val="000000" w:themeColor="text1"/>
          <w:sz w:val="22"/>
          <w:szCs w:val="22"/>
        </w:rPr>
        <w:footnoteReference w:id="22"/>
      </w:r>
      <w:r w:rsidR="00C7249D" w:rsidRPr="003272B0">
        <w:rPr>
          <w:color w:val="000000" w:themeColor="text1"/>
          <w:sz w:val="22"/>
          <w:szCs w:val="22"/>
        </w:rPr>
        <w:t xml:space="preserve"> </w:t>
      </w:r>
      <w:r w:rsidR="000A623E" w:rsidRPr="003272B0">
        <w:rPr>
          <w:color w:val="000000" w:themeColor="text1"/>
          <w:sz w:val="22"/>
          <w:szCs w:val="22"/>
        </w:rPr>
        <w:t>In the fishing sector,</w:t>
      </w:r>
      <w:r w:rsidR="004426F6" w:rsidRPr="003272B0">
        <w:rPr>
          <w:color w:val="000000" w:themeColor="text1"/>
          <w:sz w:val="22"/>
          <w:szCs w:val="22"/>
        </w:rPr>
        <w:t xml:space="preserve"> about half of the fatal injuries are related to </w:t>
      </w:r>
      <w:r w:rsidR="00AA113A" w:rsidRPr="003272B0">
        <w:rPr>
          <w:color w:val="000000" w:themeColor="text1"/>
          <w:sz w:val="22"/>
          <w:szCs w:val="22"/>
        </w:rPr>
        <w:t>maritime disasters and drowning</w:t>
      </w:r>
      <w:r w:rsidR="002A1972" w:rsidRPr="003272B0">
        <w:rPr>
          <w:color w:val="000000" w:themeColor="text1"/>
          <w:sz w:val="22"/>
          <w:szCs w:val="22"/>
        </w:rPr>
        <w:t>.</w:t>
      </w:r>
      <w:r w:rsidR="00AA113A" w:rsidRPr="003272B0">
        <w:rPr>
          <w:rStyle w:val="FootnoteReference"/>
          <w:color w:val="000000" w:themeColor="text1"/>
          <w:sz w:val="22"/>
          <w:szCs w:val="22"/>
        </w:rPr>
        <w:footnoteReference w:id="23"/>
      </w:r>
      <w:r w:rsidR="00AA113A" w:rsidRPr="003272B0">
        <w:rPr>
          <w:color w:val="000000" w:themeColor="text1"/>
          <w:sz w:val="22"/>
          <w:szCs w:val="22"/>
        </w:rPr>
        <w:t xml:space="preserve"> </w:t>
      </w:r>
      <w:r w:rsidRPr="003272B0">
        <w:rPr>
          <w:color w:val="000000" w:themeColor="text1"/>
          <w:sz w:val="22"/>
          <w:szCs w:val="22"/>
        </w:rPr>
        <w:t xml:space="preserve">This difference </w:t>
      </w:r>
      <w:r w:rsidR="00C74A5B" w:rsidRPr="003272B0">
        <w:rPr>
          <w:color w:val="000000" w:themeColor="text1"/>
          <w:sz w:val="22"/>
          <w:szCs w:val="22"/>
        </w:rPr>
        <w:t xml:space="preserve">indicates that regulating maritime occupational health and safety requires different </w:t>
      </w:r>
      <w:r w:rsidR="002E32B4" w:rsidRPr="003272B0">
        <w:rPr>
          <w:color w:val="000000" w:themeColor="text1"/>
          <w:sz w:val="22"/>
          <w:szCs w:val="22"/>
        </w:rPr>
        <w:t xml:space="preserve">strategies in the shipping and fishing sectors. To prevent </w:t>
      </w:r>
      <w:r w:rsidR="002E32B4" w:rsidRPr="003272B0">
        <w:rPr>
          <w:color w:val="000000" w:themeColor="text1"/>
          <w:sz w:val="22"/>
          <w:szCs w:val="22"/>
        </w:rPr>
        <w:lastRenderedPageBreak/>
        <w:t xml:space="preserve">maritime disasters should be the regulatory priority </w:t>
      </w:r>
      <w:r w:rsidR="007759A4" w:rsidRPr="003272B0">
        <w:rPr>
          <w:color w:val="000000" w:themeColor="text1"/>
          <w:sz w:val="22"/>
          <w:szCs w:val="22"/>
        </w:rPr>
        <w:t xml:space="preserve">in the fishing health and safety governance. </w:t>
      </w:r>
      <w:r w:rsidR="00E43995" w:rsidRPr="003272B0">
        <w:rPr>
          <w:color w:val="000000" w:themeColor="text1"/>
          <w:sz w:val="22"/>
          <w:szCs w:val="22"/>
        </w:rPr>
        <w:t xml:space="preserve">In addition, mental health problems at sea are also attracting research attention in recent years, particularly the fatigue issue among seafarers. </w:t>
      </w:r>
    </w:p>
    <w:p w14:paraId="3136E56F" w14:textId="220C9DA8" w:rsidR="007759A4" w:rsidRPr="003272B0" w:rsidRDefault="007759A4" w:rsidP="002E1843">
      <w:pPr>
        <w:spacing w:line="480" w:lineRule="auto"/>
        <w:rPr>
          <w:color w:val="000000" w:themeColor="text1"/>
          <w:sz w:val="22"/>
          <w:szCs w:val="22"/>
        </w:rPr>
      </w:pPr>
    </w:p>
    <w:p w14:paraId="248BED20" w14:textId="3EFB3C51" w:rsidR="00262FAB" w:rsidRPr="003272B0" w:rsidRDefault="00F16998" w:rsidP="002E1843">
      <w:pPr>
        <w:spacing w:line="480" w:lineRule="auto"/>
        <w:rPr>
          <w:iCs/>
          <w:color w:val="000000" w:themeColor="text1"/>
          <w:sz w:val="22"/>
          <w:szCs w:val="22"/>
          <w:lang w:val="en-US"/>
        </w:rPr>
      </w:pPr>
      <w:r w:rsidRPr="003272B0">
        <w:rPr>
          <w:color w:val="000000" w:themeColor="text1"/>
          <w:sz w:val="22"/>
          <w:szCs w:val="22"/>
        </w:rPr>
        <w:t>Canadian maritime workers, seafarers and fishing workers, fac</w:t>
      </w:r>
      <w:r w:rsidR="00004321" w:rsidRPr="003272B0">
        <w:rPr>
          <w:color w:val="000000" w:themeColor="text1"/>
          <w:sz w:val="22"/>
          <w:szCs w:val="22"/>
        </w:rPr>
        <w:t>e</w:t>
      </w:r>
      <w:r w:rsidRPr="003272B0">
        <w:rPr>
          <w:color w:val="000000" w:themeColor="text1"/>
          <w:sz w:val="22"/>
          <w:szCs w:val="22"/>
        </w:rPr>
        <w:t xml:space="preserve"> similar occupational hazards with their international counterparts. </w:t>
      </w:r>
      <w:r w:rsidR="008D0531" w:rsidRPr="003272B0">
        <w:rPr>
          <w:color w:val="000000" w:themeColor="text1"/>
          <w:sz w:val="22"/>
          <w:szCs w:val="22"/>
        </w:rPr>
        <w:t xml:space="preserve">The mortality rate of Canadian seafarers </w:t>
      </w:r>
      <w:proofErr w:type="gramStart"/>
      <w:r w:rsidR="008D0531" w:rsidRPr="003272B0">
        <w:rPr>
          <w:color w:val="000000" w:themeColor="text1"/>
          <w:sz w:val="22"/>
          <w:szCs w:val="22"/>
        </w:rPr>
        <w:t>are</w:t>
      </w:r>
      <w:proofErr w:type="gramEnd"/>
      <w:r w:rsidR="008D0531" w:rsidRPr="003272B0">
        <w:rPr>
          <w:color w:val="000000" w:themeColor="text1"/>
          <w:sz w:val="22"/>
          <w:szCs w:val="22"/>
        </w:rPr>
        <w:t xml:space="preserve"> 22 per 100,000 workers</w:t>
      </w:r>
      <w:r w:rsidR="00A93855" w:rsidRPr="003272B0">
        <w:rPr>
          <w:color w:val="000000" w:themeColor="text1"/>
          <w:sz w:val="22"/>
          <w:szCs w:val="22"/>
        </w:rPr>
        <w:t xml:space="preserve">, which is slightly higher than </w:t>
      </w:r>
      <w:r w:rsidR="00F74DB5" w:rsidRPr="003272B0">
        <w:rPr>
          <w:color w:val="000000" w:themeColor="text1"/>
          <w:sz w:val="22"/>
          <w:szCs w:val="22"/>
        </w:rPr>
        <w:t>that of seafarers working on UK fleet</w:t>
      </w:r>
      <w:r w:rsidR="002A1972" w:rsidRPr="003272B0">
        <w:rPr>
          <w:color w:val="000000" w:themeColor="text1"/>
          <w:sz w:val="22"/>
          <w:szCs w:val="22"/>
        </w:rPr>
        <w:t>.</w:t>
      </w:r>
      <w:r w:rsidR="00F74DB5" w:rsidRPr="003272B0">
        <w:rPr>
          <w:rStyle w:val="FootnoteReference"/>
          <w:color w:val="000000" w:themeColor="text1"/>
          <w:sz w:val="22"/>
          <w:szCs w:val="22"/>
        </w:rPr>
        <w:footnoteReference w:id="24"/>
      </w:r>
      <w:r w:rsidR="00F74DB5" w:rsidRPr="003272B0">
        <w:rPr>
          <w:color w:val="000000" w:themeColor="text1"/>
          <w:sz w:val="22"/>
          <w:szCs w:val="22"/>
        </w:rPr>
        <w:t xml:space="preserve"> </w:t>
      </w:r>
      <w:r w:rsidR="008D0531" w:rsidRPr="003272B0">
        <w:rPr>
          <w:color w:val="000000" w:themeColor="text1"/>
          <w:sz w:val="22"/>
          <w:szCs w:val="22"/>
        </w:rPr>
        <w:t xml:space="preserve"> </w:t>
      </w:r>
      <w:r w:rsidR="00262FAB" w:rsidRPr="003272B0">
        <w:rPr>
          <w:color w:val="000000" w:themeColor="text1"/>
          <w:sz w:val="22"/>
          <w:szCs w:val="22"/>
        </w:rPr>
        <w:t>Fishing is also one of the most dangerous occupations in Canada with a fatality rate of 115 per 100</w:t>
      </w:r>
      <w:r w:rsidR="003D1D17" w:rsidRPr="003272B0">
        <w:rPr>
          <w:color w:val="000000" w:themeColor="text1"/>
          <w:sz w:val="22"/>
          <w:szCs w:val="22"/>
        </w:rPr>
        <w:t>,</w:t>
      </w:r>
      <w:r w:rsidR="00262FAB" w:rsidRPr="003272B0">
        <w:rPr>
          <w:color w:val="000000" w:themeColor="text1"/>
          <w:sz w:val="22"/>
          <w:szCs w:val="22"/>
        </w:rPr>
        <w:t>0</w:t>
      </w:r>
      <w:r w:rsidR="003D1D17" w:rsidRPr="003272B0">
        <w:rPr>
          <w:color w:val="000000" w:themeColor="text1"/>
          <w:sz w:val="22"/>
          <w:szCs w:val="22"/>
        </w:rPr>
        <w:t>00</w:t>
      </w:r>
      <w:r w:rsidR="00262FAB" w:rsidRPr="003272B0">
        <w:rPr>
          <w:color w:val="000000" w:themeColor="text1"/>
          <w:sz w:val="22"/>
          <w:szCs w:val="22"/>
        </w:rPr>
        <w:t xml:space="preserve"> persons, which is </w:t>
      </w:r>
      <w:r w:rsidR="001C5B32" w:rsidRPr="003272B0">
        <w:rPr>
          <w:color w:val="000000" w:themeColor="text1"/>
          <w:sz w:val="22"/>
          <w:szCs w:val="22"/>
        </w:rPr>
        <w:t xml:space="preserve">one of </w:t>
      </w:r>
      <w:r w:rsidR="00262FAB" w:rsidRPr="003272B0">
        <w:rPr>
          <w:color w:val="000000" w:themeColor="text1"/>
          <w:sz w:val="22"/>
          <w:szCs w:val="22"/>
        </w:rPr>
        <w:t>the top-listed risk occupations</w:t>
      </w:r>
      <w:r w:rsidR="003C538E" w:rsidRPr="003272B0">
        <w:rPr>
          <w:color w:val="000000" w:themeColor="text1"/>
          <w:sz w:val="22"/>
          <w:szCs w:val="22"/>
        </w:rPr>
        <w:t>.</w:t>
      </w:r>
      <w:r w:rsidR="00F7064C" w:rsidRPr="003272B0">
        <w:rPr>
          <w:rStyle w:val="FootnoteReference"/>
          <w:color w:val="000000" w:themeColor="text1"/>
          <w:sz w:val="22"/>
          <w:szCs w:val="22"/>
        </w:rPr>
        <w:footnoteReference w:id="25"/>
      </w:r>
      <w:r w:rsidR="003C538E" w:rsidRPr="003272B0">
        <w:rPr>
          <w:color w:val="000000" w:themeColor="text1"/>
          <w:sz w:val="22"/>
          <w:szCs w:val="22"/>
        </w:rPr>
        <w:t xml:space="preserve"> </w:t>
      </w:r>
      <w:r w:rsidR="000E00B8" w:rsidRPr="003272B0">
        <w:rPr>
          <w:color w:val="000000" w:themeColor="text1"/>
          <w:sz w:val="22"/>
          <w:szCs w:val="22"/>
        </w:rPr>
        <w:t xml:space="preserve">Canadian maritime workers’ fatality rate are slightly higher than that of </w:t>
      </w:r>
      <w:r w:rsidR="004C2D14" w:rsidRPr="003272B0">
        <w:rPr>
          <w:color w:val="000000" w:themeColor="text1"/>
          <w:sz w:val="22"/>
          <w:szCs w:val="22"/>
        </w:rPr>
        <w:t xml:space="preserve">British maritime workers. In addition, </w:t>
      </w:r>
      <w:r w:rsidR="0080320D" w:rsidRPr="003272B0">
        <w:rPr>
          <w:color w:val="000000" w:themeColor="text1"/>
          <w:sz w:val="22"/>
          <w:szCs w:val="22"/>
        </w:rPr>
        <w:t xml:space="preserve">the </w:t>
      </w:r>
      <w:r w:rsidR="00E9401A" w:rsidRPr="003272B0">
        <w:rPr>
          <w:color w:val="000000" w:themeColor="text1"/>
          <w:sz w:val="22"/>
          <w:szCs w:val="22"/>
        </w:rPr>
        <w:t xml:space="preserve">major cause </w:t>
      </w:r>
      <w:r w:rsidR="00104EF4" w:rsidRPr="003272B0">
        <w:rPr>
          <w:color w:val="000000" w:themeColor="text1"/>
          <w:sz w:val="22"/>
          <w:szCs w:val="22"/>
        </w:rPr>
        <w:t xml:space="preserve">(58%) </w:t>
      </w:r>
      <w:r w:rsidR="0080320D" w:rsidRPr="003272B0">
        <w:rPr>
          <w:color w:val="000000" w:themeColor="text1"/>
          <w:sz w:val="22"/>
          <w:szCs w:val="22"/>
        </w:rPr>
        <w:t>of fishing fatalities in Canada</w:t>
      </w:r>
      <w:r w:rsidR="00E9401A" w:rsidRPr="003272B0">
        <w:rPr>
          <w:color w:val="000000" w:themeColor="text1"/>
          <w:sz w:val="22"/>
          <w:szCs w:val="22"/>
        </w:rPr>
        <w:t xml:space="preserve"> is</w:t>
      </w:r>
      <w:r w:rsidR="00E723CF" w:rsidRPr="003272B0">
        <w:rPr>
          <w:color w:val="000000" w:themeColor="text1"/>
          <w:sz w:val="22"/>
          <w:szCs w:val="22"/>
        </w:rPr>
        <w:t xml:space="preserve"> maritime disaster, including </w:t>
      </w:r>
      <w:r w:rsidR="00D2010A" w:rsidRPr="003272B0">
        <w:rPr>
          <w:iCs/>
          <w:color w:val="000000" w:themeColor="text1"/>
          <w:sz w:val="22"/>
          <w:szCs w:val="22"/>
          <w:lang w:val="en-US"/>
        </w:rPr>
        <w:t>c</w:t>
      </w:r>
      <w:r w:rsidR="00104EF4" w:rsidRPr="003272B0">
        <w:rPr>
          <w:iCs/>
          <w:color w:val="000000" w:themeColor="text1"/>
          <w:sz w:val="22"/>
          <w:szCs w:val="22"/>
          <w:lang w:val="en-US"/>
        </w:rPr>
        <w:t>apsizing, foundering, flooding or sinking</w:t>
      </w:r>
      <w:r w:rsidR="007473D2" w:rsidRPr="003272B0">
        <w:rPr>
          <w:iCs/>
          <w:color w:val="000000" w:themeColor="text1"/>
          <w:sz w:val="22"/>
          <w:szCs w:val="22"/>
          <w:lang w:val="en-US"/>
        </w:rPr>
        <w:t>.</w:t>
      </w:r>
      <w:r w:rsidR="00104EF4" w:rsidRPr="003272B0">
        <w:rPr>
          <w:rStyle w:val="FootnoteReference"/>
          <w:iCs/>
          <w:color w:val="000000" w:themeColor="text1"/>
          <w:sz w:val="22"/>
          <w:szCs w:val="22"/>
          <w:lang w:val="en-US"/>
        </w:rPr>
        <w:footnoteReference w:id="26"/>
      </w:r>
      <w:r w:rsidR="007473D2" w:rsidRPr="003272B0">
        <w:rPr>
          <w:iCs/>
          <w:color w:val="000000" w:themeColor="text1"/>
          <w:sz w:val="22"/>
          <w:szCs w:val="22"/>
          <w:lang w:val="en-US"/>
        </w:rPr>
        <w:t xml:space="preserve"> </w:t>
      </w:r>
      <w:r w:rsidR="002059C6" w:rsidRPr="003272B0">
        <w:rPr>
          <w:iCs/>
          <w:color w:val="000000" w:themeColor="text1"/>
          <w:sz w:val="22"/>
          <w:szCs w:val="22"/>
          <w:lang w:val="en-US"/>
        </w:rPr>
        <w:t xml:space="preserve">Through comparison, it can be found that in Canada, fishing mortality rate is </w:t>
      </w:r>
      <w:r w:rsidR="009E5D32" w:rsidRPr="003272B0">
        <w:rPr>
          <w:iCs/>
          <w:color w:val="000000" w:themeColor="text1"/>
          <w:sz w:val="22"/>
          <w:szCs w:val="22"/>
          <w:lang w:val="en-US"/>
        </w:rPr>
        <w:t xml:space="preserve">more than five times of that of seafaring and </w:t>
      </w:r>
      <w:r w:rsidR="00342B8A" w:rsidRPr="003272B0">
        <w:rPr>
          <w:iCs/>
          <w:color w:val="000000" w:themeColor="text1"/>
          <w:sz w:val="22"/>
          <w:szCs w:val="22"/>
          <w:lang w:val="en-US"/>
        </w:rPr>
        <w:t>maritime disaster accidents are the major challenge in fishing occupational health and safety governance.</w:t>
      </w:r>
    </w:p>
    <w:p w14:paraId="1430D89B" w14:textId="7575CCAC" w:rsidR="00342B8A" w:rsidRPr="003272B0" w:rsidRDefault="00342B8A" w:rsidP="002E1843">
      <w:pPr>
        <w:spacing w:line="480" w:lineRule="auto"/>
        <w:rPr>
          <w:color w:val="000000" w:themeColor="text1"/>
          <w:sz w:val="22"/>
          <w:szCs w:val="22"/>
        </w:rPr>
      </w:pPr>
    </w:p>
    <w:p w14:paraId="4339E2E9" w14:textId="5254A012" w:rsidR="00923AAB" w:rsidRPr="003272B0" w:rsidRDefault="00A72F86" w:rsidP="002E1843">
      <w:pPr>
        <w:spacing w:line="480" w:lineRule="auto"/>
        <w:rPr>
          <w:color w:val="000000" w:themeColor="text1"/>
          <w:sz w:val="22"/>
          <w:szCs w:val="22"/>
        </w:rPr>
      </w:pPr>
      <w:r w:rsidRPr="003272B0">
        <w:rPr>
          <w:color w:val="000000" w:themeColor="text1"/>
          <w:sz w:val="22"/>
          <w:szCs w:val="22"/>
        </w:rPr>
        <w:t>Canadian</w:t>
      </w:r>
      <w:r w:rsidR="00C360FD" w:rsidRPr="003272B0">
        <w:rPr>
          <w:color w:val="000000" w:themeColor="text1"/>
          <w:sz w:val="22"/>
          <w:szCs w:val="22"/>
        </w:rPr>
        <w:t xml:space="preserve"> merchant ships are mainly engaged in short-sea transport</w:t>
      </w:r>
      <w:r w:rsidR="00384771" w:rsidRPr="003272B0">
        <w:rPr>
          <w:color w:val="000000" w:themeColor="text1"/>
          <w:sz w:val="22"/>
          <w:szCs w:val="22"/>
        </w:rPr>
        <w:t xml:space="preserve">. </w:t>
      </w:r>
      <w:r w:rsidR="00A64E0F" w:rsidRPr="003272B0">
        <w:rPr>
          <w:color w:val="000000" w:themeColor="text1"/>
          <w:sz w:val="22"/>
          <w:szCs w:val="22"/>
        </w:rPr>
        <w:t xml:space="preserve">In addition to the </w:t>
      </w:r>
      <w:r w:rsidR="004B62D8" w:rsidRPr="003272B0">
        <w:rPr>
          <w:color w:val="000000" w:themeColor="text1"/>
          <w:sz w:val="22"/>
          <w:szCs w:val="22"/>
        </w:rPr>
        <w:t>occupational hazard related to general shipping labour process, including</w:t>
      </w:r>
      <w:r w:rsidR="000409EF" w:rsidRPr="003272B0">
        <w:rPr>
          <w:color w:val="000000" w:themeColor="text1"/>
          <w:sz w:val="22"/>
          <w:szCs w:val="22"/>
        </w:rPr>
        <w:t xml:space="preserve"> watchkeeping during the voyage, piloting through narrow waterways, mooring and anchoring at terminals, loading and discharging, cargo handling, and trimming, marine </w:t>
      </w:r>
      <w:r w:rsidR="000409EF" w:rsidRPr="003272B0">
        <w:rPr>
          <w:color w:val="000000" w:themeColor="text1"/>
          <w:sz w:val="22"/>
          <w:szCs w:val="22"/>
        </w:rPr>
        <w:lastRenderedPageBreak/>
        <w:t xml:space="preserve">engineering and vessel-sourced pollutant processing, </w:t>
      </w:r>
      <w:r w:rsidR="00073D57" w:rsidRPr="003272B0">
        <w:rPr>
          <w:color w:val="000000" w:themeColor="text1"/>
          <w:sz w:val="22"/>
          <w:szCs w:val="22"/>
        </w:rPr>
        <w:t>Canadian seafarer confront additional risks related to landing boom operation</w:t>
      </w:r>
      <w:r w:rsidR="003771CB" w:rsidRPr="003272B0">
        <w:rPr>
          <w:color w:val="000000" w:themeColor="text1"/>
          <w:sz w:val="22"/>
          <w:szCs w:val="22"/>
        </w:rPr>
        <w:t>, which is an operation of using the booms to swing crew member ashore to handle mooring lines on tie-up walls. This practice is unique to the Seaway</w:t>
      </w:r>
      <w:r w:rsidR="00D2010A" w:rsidRPr="003272B0">
        <w:rPr>
          <w:rStyle w:val="FootnoteReference"/>
          <w:color w:val="000000" w:themeColor="text1"/>
          <w:sz w:val="22"/>
          <w:szCs w:val="22"/>
        </w:rPr>
        <w:footnoteReference w:id="27"/>
      </w:r>
      <w:r w:rsidR="003771CB" w:rsidRPr="003272B0">
        <w:rPr>
          <w:color w:val="000000" w:themeColor="text1"/>
          <w:sz w:val="22"/>
          <w:szCs w:val="22"/>
        </w:rPr>
        <w:t>. Frequent calls to port in the near coastal regions will also require seafarers to be on call and shorten their rest hours</w:t>
      </w:r>
      <w:r w:rsidR="0074218A" w:rsidRPr="003272B0">
        <w:rPr>
          <w:color w:val="000000" w:themeColor="text1"/>
          <w:sz w:val="22"/>
          <w:szCs w:val="22"/>
        </w:rPr>
        <w:t>.</w:t>
      </w:r>
      <w:r w:rsidR="003771CB" w:rsidRPr="003272B0">
        <w:rPr>
          <w:rStyle w:val="FootnoteReference"/>
          <w:color w:val="000000" w:themeColor="text1"/>
          <w:sz w:val="22"/>
          <w:szCs w:val="22"/>
        </w:rPr>
        <w:footnoteReference w:id="28"/>
      </w:r>
      <w:r w:rsidR="003771CB" w:rsidRPr="003272B0">
        <w:rPr>
          <w:color w:val="000000" w:themeColor="text1"/>
          <w:sz w:val="22"/>
          <w:szCs w:val="22"/>
        </w:rPr>
        <w:t xml:space="preserve"> </w:t>
      </w:r>
      <w:r w:rsidR="00F1445D" w:rsidRPr="003272B0">
        <w:rPr>
          <w:color w:val="000000" w:themeColor="text1"/>
          <w:sz w:val="22"/>
          <w:szCs w:val="22"/>
        </w:rPr>
        <w:t>Shore-sea seafarers are more vulnerable to f</w:t>
      </w:r>
      <w:r w:rsidR="003771CB" w:rsidRPr="003272B0">
        <w:rPr>
          <w:color w:val="000000" w:themeColor="text1"/>
          <w:sz w:val="22"/>
          <w:szCs w:val="22"/>
        </w:rPr>
        <w:t>atigue, a recently recognised workplace hazard</w:t>
      </w:r>
      <w:r w:rsidR="00F1445D" w:rsidRPr="003272B0">
        <w:rPr>
          <w:color w:val="000000" w:themeColor="text1"/>
          <w:sz w:val="22"/>
          <w:szCs w:val="22"/>
        </w:rPr>
        <w:t>.</w:t>
      </w:r>
    </w:p>
    <w:p w14:paraId="28F916A9" w14:textId="77777777" w:rsidR="00D2541A" w:rsidRPr="003272B0" w:rsidRDefault="00D2541A" w:rsidP="002E1843">
      <w:pPr>
        <w:spacing w:line="480" w:lineRule="auto"/>
        <w:rPr>
          <w:color w:val="000000" w:themeColor="text1"/>
          <w:sz w:val="22"/>
          <w:szCs w:val="22"/>
        </w:rPr>
      </w:pPr>
    </w:p>
    <w:p w14:paraId="23A5B70E" w14:textId="0BEC5468" w:rsidR="0042695B" w:rsidRPr="003272B0" w:rsidRDefault="006A7516" w:rsidP="002E1843">
      <w:pPr>
        <w:spacing w:line="480" w:lineRule="auto"/>
        <w:rPr>
          <w:color w:val="000000" w:themeColor="text1"/>
          <w:sz w:val="22"/>
          <w:szCs w:val="22"/>
        </w:rPr>
      </w:pPr>
      <w:r w:rsidRPr="003272B0">
        <w:rPr>
          <w:color w:val="000000" w:themeColor="text1"/>
          <w:sz w:val="22"/>
          <w:szCs w:val="22"/>
        </w:rPr>
        <w:t xml:space="preserve">With the increasing maritime </w:t>
      </w:r>
      <w:r w:rsidR="00E70BF3" w:rsidRPr="003272B0">
        <w:rPr>
          <w:color w:val="000000" w:themeColor="text1"/>
          <w:sz w:val="22"/>
          <w:szCs w:val="22"/>
        </w:rPr>
        <w:t>activities</w:t>
      </w:r>
      <w:r w:rsidRPr="003272B0">
        <w:rPr>
          <w:color w:val="000000" w:themeColor="text1"/>
          <w:sz w:val="22"/>
          <w:szCs w:val="22"/>
        </w:rPr>
        <w:t xml:space="preserve"> in the Arctic, </w:t>
      </w:r>
      <w:r w:rsidR="00E70BF3" w:rsidRPr="003272B0">
        <w:rPr>
          <w:color w:val="000000" w:themeColor="text1"/>
          <w:sz w:val="22"/>
          <w:szCs w:val="22"/>
        </w:rPr>
        <w:t>Canadian maritime workers also face</w:t>
      </w:r>
      <w:r w:rsidR="00A94BA0" w:rsidRPr="003272B0">
        <w:rPr>
          <w:color w:val="000000" w:themeColor="text1"/>
          <w:sz w:val="22"/>
          <w:szCs w:val="22"/>
        </w:rPr>
        <w:t xml:space="preserve"> </w:t>
      </w:r>
      <w:r w:rsidR="00FC3283" w:rsidRPr="003272B0">
        <w:rPr>
          <w:color w:val="000000" w:themeColor="text1"/>
          <w:sz w:val="22"/>
          <w:szCs w:val="22"/>
        </w:rPr>
        <w:t xml:space="preserve">special occupational hazard related to polar marine environment. </w:t>
      </w:r>
      <w:r w:rsidR="00256B2D" w:rsidRPr="003272B0">
        <w:rPr>
          <w:color w:val="000000" w:themeColor="text1"/>
          <w:sz w:val="22"/>
          <w:szCs w:val="22"/>
        </w:rPr>
        <w:t>The lack of port infrastructure in the Arctic region increase</w:t>
      </w:r>
      <w:r w:rsidR="00164C3C" w:rsidRPr="003272B0">
        <w:rPr>
          <w:color w:val="000000" w:themeColor="text1"/>
          <w:sz w:val="22"/>
          <w:szCs w:val="22"/>
        </w:rPr>
        <w:t>s</w:t>
      </w:r>
      <w:r w:rsidR="00256B2D" w:rsidRPr="003272B0">
        <w:rPr>
          <w:color w:val="000000" w:themeColor="text1"/>
          <w:sz w:val="22"/>
          <w:szCs w:val="22"/>
        </w:rPr>
        <w:t xml:space="preserve"> the difficulty of discharging operation</w:t>
      </w:r>
      <w:r w:rsidR="00164C3C" w:rsidRPr="003272B0">
        <w:rPr>
          <w:color w:val="000000" w:themeColor="text1"/>
          <w:sz w:val="22"/>
          <w:szCs w:val="22"/>
        </w:rPr>
        <w:t xml:space="preserve"> and may create additional occupational hazard related to port operation</w:t>
      </w:r>
      <w:r w:rsidR="00D2010A" w:rsidRPr="003272B0">
        <w:rPr>
          <w:rStyle w:val="FootnoteReference"/>
          <w:color w:val="000000" w:themeColor="text1"/>
          <w:sz w:val="22"/>
          <w:szCs w:val="22"/>
        </w:rPr>
        <w:footnoteReference w:id="29"/>
      </w:r>
      <w:r w:rsidR="00256B2D" w:rsidRPr="003272B0">
        <w:rPr>
          <w:color w:val="000000" w:themeColor="text1"/>
          <w:sz w:val="22"/>
          <w:szCs w:val="22"/>
        </w:rPr>
        <w:t xml:space="preserve">. </w:t>
      </w:r>
    </w:p>
    <w:p w14:paraId="69667DB0" w14:textId="77777777" w:rsidR="00D2010A" w:rsidRPr="003272B0" w:rsidRDefault="00D2010A" w:rsidP="002E1843">
      <w:pPr>
        <w:spacing w:line="480" w:lineRule="auto"/>
        <w:rPr>
          <w:color w:val="000000" w:themeColor="text1"/>
          <w:sz w:val="22"/>
          <w:szCs w:val="22"/>
        </w:rPr>
      </w:pPr>
    </w:p>
    <w:p w14:paraId="7E704388" w14:textId="28553F34" w:rsidR="00AA57C6" w:rsidRPr="003272B0" w:rsidRDefault="00D2010A" w:rsidP="002E1843">
      <w:pPr>
        <w:spacing w:line="480" w:lineRule="auto"/>
        <w:rPr>
          <w:color w:val="000000" w:themeColor="text1"/>
        </w:rPr>
      </w:pPr>
      <w:r w:rsidRPr="003272B0">
        <w:rPr>
          <w:color w:val="000000" w:themeColor="text1"/>
          <w:sz w:val="22"/>
          <w:szCs w:val="22"/>
        </w:rPr>
        <w:t xml:space="preserve">Navigation in the Arctic brings unique hazards such as atmospheric refractions resulting in mirages; lack of navigational aids or markers; no designated traffic segregation scheme; months of complete darkness; erratic compass readings due to anomalies in the earth's magnetic field; and less reliable navigation and satellite </w:t>
      </w:r>
      <w:r w:rsidRPr="003272B0">
        <w:rPr>
          <w:color w:val="000000" w:themeColor="text1"/>
          <w:sz w:val="22"/>
          <w:szCs w:val="22"/>
        </w:rPr>
        <w:lastRenderedPageBreak/>
        <w:t>communications due to ionosphere interference.</w:t>
      </w:r>
      <w:r w:rsidRPr="003272B0">
        <w:rPr>
          <w:rStyle w:val="FootnoteReference"/>
          <w:color w:val="000000" w:themeColor="text1"/>
          <w:sz w:val="22"/>
          <w:szCs w:val="22"/>
        </w:rPr>
        <w:footnoteReference w:id="30"/>
      </w:r>
      <w:r w:rsidRPr="003272B0">
        <w:rPr>
          <w:color w:val="000000" w:themeColor="text1"/>
          <w:sz w:val="22"/>
          <w:szCs w:val="22"/>
        </w:rPr>
        <w:t xml:space="preserve"> </w:t>
      </w:r>
      <w:r w:rsidR="00256B2D" w:rsidRPr="003272B0">
        <w:rPr>
          <w:color w:val="000000" w:themeColor="text1"/>
          <w:sz w:val="22"/>
          <w:szCs w:val="22"/>
        </w:rPr>
        <w:t>Working in the arctic may also create risks for individual seafarers, including numbness, frostbite, hypothermia, long term working in the cold may also cause musculoskeletal disorders.</w:t>
      </w:r>
      <w:r w:rsidR="00D1221B" w:rsidRPr="003272B0">
        <w:rPr>
          <w:color w:val="000000" w:themeColor="text1"/>
          <w:sz w:val="22"/>
          <w:szCs w:val="22"/>
        </w:rPr>
        <w:t xml:space="preserve"> </w:t>
      </w:r>
      <w:r w:rsidR="00256B2D" w:rsidRPr="003272B0">
        <w:rPr>
          <w:color w:val="000000" w:themeColor="text1"/>
          <w:sz w:val="22"/>
          <w:szCs w:val="22"/>
        </w:rPr>
        <w:t xml:space="preserve">Cooling </w:t>
      </w:r>
      <w:r w:rsidR="00D1221B" w:rsidRPr="003272B0">
        <w:rPr>
          <w:color w:val="000000" w:themeColor="text1"/>
          <w:sz w:val="22"/>
          <w:szCs w:val="22"/>
        </w:rPr>
        <w:t>may</w:t>
      </w:r>
      <w:r w:rsidR="00256B2D" w:rsidRPr="003272B0">
        <w:rPr>
          <w:color w:val="000000" w:themeColor="text1"/>
          <w:sz w:val="22"/>
          <w:szCs w:val="22"/>
        </w:rPr>
        <w:t xml:space="preserve"> worsen the symptoms of many diseases, including </w:t>
      </w:r>
      <w:r w:rsidR="00A8557D" w:rsidRPr="003272B0">
        <w:rPr>
          <w:color w:val="000000" w:themeColor="text1"/>
          <w:sz w:val="22"/>
          <w:szCs w:val="22"/>
        </w:rPr>
        <w:t>respiratory</w:t>
      </w:r>
      <w:r w:rsidR="00256B2D" w:rsidRPr="003272B0">
        <w:rPr>
          <w:color w:val="000000" w:themeColor="text1"/>
          <w:sz w:val="22"/>
          <w:szCs w:val="22"/>
        </w:rPr>
        <w:t xml:space="preserve"> and heart diseases</w:t>
      </w:r>
      <w:r w:rsidRPr="003272B0">
        <w:rPr>
          <w:rStyle w:val="FootnoteReference"/>
          <w:color w:val="000000" w:themeColor="text1"/>
          <w:sz w:val="22"/>
          <w:szCs w:val="22"/>
        </w:rPr>
        <w:footnoteReference w:id="31"/>
      </w:r>
      <w:r w:rsidR="00613D58" w:rsidRPr="003272B0">
        <w:rPr>
          <w:color w:val="000000" w:themeColor="text1"/>
          <w:sz w:val="22"/>
          <w:szCs w:val="22"/>
        </w:rPr>
        <w:t>.</w:t>
      </w:r>
    </w:p>
    <w:p w14:paraId="739AFEC4" w14:textId="77777777" w:rsidR="00D2541A" w:rsidRPr="003272B0" w:rsidRDefault="00D2541A" w:rsidP="002E1843">
      <w:pPr>
        <w:spacing w:line="480" w:lineRule="auto"/>
        <w:rPr>
          <w:color w:val="000000" w:themeColor="text1"/>
          <w:sz w:val="22"/>
          <w:szCs w:val="22"/>
        </w:rPr>
      </w:pPr>
    </w:p>
    <w:p w14:paraId="6BA10895" w14:textId="02CDB729" w:rsidR="007559F9" w:rsidRPr="003272B0" w:rsidRDefault="00944E20" w:rsidP="002E1843">
      <w:pPr>
        <w:spacing w:line="480" w:lineRule="auto"/>
        <w:rPr>
          <w:color w:val="000000" w:themeColor="text1"/>
          <w:sz w:val="22"/>
          <w:szCs w:val="22"/>
        </w:rPr>
      </w:pPr>
      <w:r w:rsidRPr="003272B0">
        <w:rPr>
          <w:color w:val="000000" w:themeColor="text1"/>
          <w:sz w:val="22"/>
          <w:szCs w:val="22"/>
        </w:rPr>
        <w:t xml:space="preserve">The high risk of fatal accidents in the maritime sectors </w:t>
      </w:r>
      <w:r w:rsidR="0096740A" w:rsidRPr="003272B0">
        <w:rPr>
          <w:color w:val="000000" w:themeColor="text1"/>
          <w:sz w:val="22"/>
          <w:szCs w:val="22"/>
        </w:rPr>
        <w:t xml:space="preserve">indicates that additional regulatory efforts are required to ensure the health and safety of workers at sea. </w:t>
      </w:r>
      <w:r w:rsidR="00A10989" w:rsidRPr="003272B0">
        <w:rPr>
          <w:color w:val="000000" w:themeColor="text1"/>
          <w:sz w:val="22"/>
          <w:szCs w:val="22"/>
        </w:rPr>
        <w:t xml:space="preserve">In addition, considering the </w:t>
      </w:r>
      <w:r w:rsidR="002D45E0" w:rsidRPr="003272B0">
        <w:rPr>
          <w:color w:val="000000" w:themeColor="text1"/>
          <w:sz w:val="22"/>
          <w:szCs w:val="22"/>
        </w:rPr>
        <w:t xml:space="preserve">expansion of Arctic maritime </w:t>
      </w:r>
      <w:r w:rsidR="007147D3" w:rsidRPr="003272B0">
        <w:rPr>
          <w:color w:val="000000" w:themeColor="text1"/>
          <w:sz w:val="22"/>
          <w:szCs w:val="22"/>
        </w:rPr>
        <w:t xml:space="preserve">activities due to climate change, how to protect maritime workers in the polar maritime working environment is also an important question to address in </w:t>
      </w:r>
      <w:r w:rsidR="00D1221B" w:rsidRPr="003272B0">
        <w:rPr>
          <w:color w:val="000000" w:themeColor="text1"/>
          <w:sz w:val="22"/>
          <w:szCs w:val="22"/>
        </w:rPr>
        <w:t>Canadian</w:t>
      </w:r>
      <w:r w:rsidR="007147D3" w:rsidRPr="003272B0">
        <w:rPr>
          <w:color w:val="000000" w:themeColor="text1"/>
          <w:sz w:val="22"/>
          <w:szCs w:val="22"/>
        </w:rPr>
        <w:t xml:space="preserve"> maritime occupational health and safety law.</w:t>
      </w:r>
    </w:p>
    <w:p w14:paraId="151E6823" w14:textId="786AB261" w:rsidR="00295C60" w:rsidRPr="003272B0" w:rsidRDefault="00174889" w:rsidP="002E1843">
      <w:pPr>
        <w:pStyle w:val="ListParagraph"/>
        <w:numPr>
          <w:ilvl w:val="0"/>
          <w:numId w:val="1"/>
        </w:numPr>
        <w:spacing w:line="480" w:lineRule="auto"/>
        <w:rPr>
          <w:b/>
          <w:color w:val="000000" w:themeColor="text1"/>
          <w:sz w:val="22"/>
          <w:szCs w:val="22"/>
        </w:rPr>
      </w:pPr>
      <w:r w:rsidRPr="003272B0">
        <w:rPr>
          <w:b/>
          <w:color w:val="000000" w:themeColor="text1"/>
          <w:sz w:val="22"/>
          <w:szCs w:val="22"/>
        </w:rPr>
        <w:t>THE PRINCIPLES OF OCCUPATIONAL HEALTH AND SAFETY LAW AND THEIR APPLICATION IN MARINE SECTORS</w:t>
      </w:r>
    </w:p>
    <w:p w14:paraId="5ADB69FB" w14:textId="77777777" w:rsidR="007460DF" w:rsidRPr="003272B0" w:rsidRDefault="007460DF" w:rsidP="002E1843">
      <w:pPr>
        <w:spacing w:line="480" w:lineRule="auto"/>
        <w:rPr>
          <w:color w:val="000000" w:themeColor="text1"/>
          <w:sz w:val="22"/>
          <w:szCs w:val="22"/>
        </w:rPr>
      </w:pPr>
    </w:p>
    <w:p w14:paraId="53D98A10" w14:textId="37B0C6B1" w:rsidR="00EA7B73" w:rsidRPr="003272B0" w:rsidRDefault="006C41CF" w:rsidP="002E1843">
      <w:pPr>
        <w:spacing w:line="480" w:lineRule="auto"/>
        <w:rPr>
          <w:color w:val="000000" w:themeColor="text1"/>
          <w:sz w:val="22"/>
          <w:szCs w:val="22"/>
        </w:rPr>
      </w:pPr>
      <w:r w:rsidRPr="003272B0">
        <w:rPr>
          <w:color w:val="000000" w:themeColor="text1"/>
          <w:sz w:val="22"/>
          <w:szCs w:val="22"/>
        </w:rPr>
        <w:t>The use of law to regulate economic activities has become a defining characteristic of modern society</w:t>
      </w:r>
      <w:r w:rsidR="00964CA9" w:rsidRPr="003272B0">
        <w:rPr>
          <w:color w:val="000000" w:themeColor="text1"/>
          <w:sz w:val="22"/>
          <w:szCs w:val="22"/>
        </w:rPr>
        <w:t>,</w:t>
      </w:r>
      <w:r w:rsidR="00DF2ACB" w:rsidRPr="003272B0">
        <w:rPr>
          <w:rStyle w:val="FootnoteReference"/>
          <w:color w:val="000000" w:themeColor="text1"/>
          <w:sz w:val="22"/>
          <w:szCs w:val="22"/>
        </w:rPr>
        <w:footnoteReference w:id="32"/>
      </w:r>
      <w:r w:rsidRPr="003272B0">
        <w:rPr>
          <w:color w:val="000000" w:themeColor="text1"/>
          <w:sz w:val="22"/>
          <w:szCs w:val="22"/>
        </w:rPr>
        <w:t xml:space="preserve"> and arguable so has the risk</w:t>
      </w:r>
      <w:r w:rsidR="00F6572B" w:rsidRPr="003272B0">
        <w:rPr>
          <w:color w:val="000000" w:themeColor="text1"/>
          <w:sz w:val="22"/>
          <w:szCs w:val="22"/>
        </w:rPr>
        <w:t>.</w:t>
      </w:r>
      <w:r w:rsidR="00F6572B" w:rsidRPr="003272B0">
        <w:rPr>
          <w:rStyle w:val="FootnoteReference"/>
          <w:color w:val="000000" w:themeColor="text1"/>
          <w:sz w:val="22"/>
          <w:szCs w:val="22"/>
        </w:rPr>
        <w:footnoteReference w:id="33"/>
      </w:r>
      <w:r w:rsidRPr="003272B0">
        <w:rPr>
          <w:color w:val="000000" w:themeColor="text1"/>
          <w:sz w:val="22"/>
          <w:szCs w:val="22"/>
        </w:rPr>
        <w:t xml:space="preserve"> Occupational health and safety law is a form of law to regulate economic </w:t>
      </w:r>
      <w:r w:rsidR="00EA7B73" w:rsidRPr="003272B0">
        <w:rPr>
          <w:color w:val="000000" w:themeColor="text1"/>
          <w:sz w:val="22"/>
          <w:szCs w:val="22"/>
        </w:rPr>
        <w:t xml:space="preserve">and industrial </w:t>
      </w:r>
      <w:r w:rsidRPr="003272B0">
        <w:rPr>
          <w:color w:val="000000" w:themeColor="text1"/>
          <w:sz w:val="22"/>
          <w:szCs w:val="22"/>
        </w:rPr>
        <w:t xml:space="preserve">activities, and prevent the harm </w:t>
      </w:r>
      <w:r w:rsidRPr="003272B0">
        <w:rPr>
          <w:color w:val="000000" w:themeColor="text1"/>
          <w:sz w:val="22"/>
          <w:szCs w:val="22"/>
        </w:rPr>
        <w:lastRenderedPageBreak/>
        <w:t xml:space="preserve">caused by </w:t>
      </w:r>
      <w:r w:rsidR="00EA7B73" w:rsidRPr="003272B0">
        <w:rPr>
          <w:color w:val="000000" w:themeColor="text1"/>
          <w:sz w:val="22"/>
          <w:szCs w:val="22"/>
        </w:rPr>
        <w:t xml:space="preserve">these </w:t>
      </w:r>
      <w:r w:rsidRPr="003272B0">
        <w:rPr>
          <w:color w:val="000000" w:themeColor="text1"/>
          <w:sz w:val="22"/>
          <w:szCs w:val="22"/>
        </w:rPr>
        <w:t>activities, in particular working activities.</w:t>
      </w:r>
      <w:r w:rsidR="00C14784" w:rsidRPr="003272B0">
        <w:rPr>
          <w:color w:val="000000" w:themeColor="text1"/>
          <w:sz w:val="22"/>
          <w:szCs w:val="22"/>
        </w:rPr>
        <w:t xml:space="preserve"> </w:t>
      </w:r>
      <w:r w:rsidR="008058BC" w:rsidRPr="003272B0">
        <w:rPr>
          <w:rFonts w:hint="eastAsia"/>
          <w:color w:val="000000" w:themeColor="text1"/>
          <w:sz w:val="22"/>
          <w:szCs w:val="22"/>
        </w:rPr>
        <w:t>This</w:t>
      </w:r>
      <w:r w:rsidR="008058BC" w:rsidRPr="003272B0">
        <w:rPr>
          <w:color w:val="000000" w:themeColor="text1"/>
          <w:sz w:val="22"/>
          <w:szCs w:val="22"/>
        </w:rPr>
        <w:t xml:space="preserve"> section reviews the principles of general occupational health and safety law and also </w:t>
      </w:r>
      <w:r w:rsidR="008058BC" w:rsidRPr="003272B0">
        <w:rPr>
          <w:rFonts w:hint="eastAsia"/>
          <w:color w:val="000000" w:themeColor="text1"/>
          <w:sz w:val="22"/>
          <w:szCs w:val="22"/>
        </w:rPr>
        <w:t>di</w:t>
      </w:r>
      <w:r w:rsidR="008058BC" w:rsidRPr="003272B0">
        <w:rPr>
          <w:color w:val="000000" w:themeColor="text1"/>
          <w:sz w:val="22"/>
          <w:szCs w:val="22"/>
        </w:rPr>
        <w:t xml:space="preserve">scusses some special features of the occupational health and safety regulatory development in marine sectors.  </w:t>
      </w:r>
    </w:p>
    <w:p w14:paraId="77E4FD8E" w14:textId="77777777" w:rsidR="00D2010A" w:rsidRPr="003272B0" w:rsidRDefault="00D2010A" w:rsidP="002E1843">
      <w:pPr>
        <w:spacing w:line="480" w:lineRule="auto"/>
        <w:rPr>
          <w:color w:val="000000" w:themeColor="text1"/>
          <w:sz w:val="22"/>
          <w:szCs w:val="22"/>
        </w:rPr>
      </w:pPr>
    </w:p>
    <w:p w14:paraId="555D6AA4" w14:textId="701F3299" w:rsidR="00EB1E38" w:rsidRPr="003272B0" w:rsidRDefault="006C41CF" w:rsidP="002E1843">
      <w:pPr>
        <w:spacing w:line="480" w:lineRule="auto"/>
        <w:rPr>
          <w:color w:val="000000" w:themeColor="text1"/>
          <w:sz w:val="22"/>
          <w:szCs w:val="22"/>
        </w:rPr>
      </w:pPr>
      <w:r w:rsidRPr="003272B0">
        <w:rPr>
          <w:color w:val="000000" w:themeColor="text1"/>
          <w:sz w:val="22"/>
          <w:szCs w:val="22"/>
        </w:rPr>
        <w:t>In 18</w:t>
      </w:r>
      <w:r w:rsidRPr="003272B0">
        <w:rPr>
          <w:color w:val="000000" w:themeColor="text1"/>
          <w:sz w:val="22"/>
          <w:szCs w:val="22"/>
          <w:vertAlign w:val="superscript"/>
        </w:rPr>
        <w:t>th</w:t>
      </w:r>
      <w:r w:rsidRPr="003272B0">
        <w:rPr>
          <w:color w:val="000000" w:themeColor="text1"/>
          <w:sz w:val="22"/>
          <w:szCs w:val="22"/>
        </w:rPr>
        <w:t xml:space="preserve"> century, risks arising from working activities were rarely regulated, and the harm arising f</w:t>
      </w:r>
      <w:r w:rsidR="009D1D65" w:rsidRPr="003272B0">
        <w:rPr>
          <w:color w:val="000000" w:themeColor="text1"/>
          <w:sz w:val="22"/>
          <w:szCs w:val="22"/>
        </w:rPr>
        <w:t>ro</w:t>
      </w:r>
      <w:r w:rsidRPr="003272B0">
        <w:rPr>
          <w:color w:val="000000" w:themeColor="text1"/>
          <w:sz w:val="22"/>
          <w:szCs w:val="22"/>
        </w:rPr>
        <w:t xml:space="preserve">m working activities were mainly suffered by individual workers and their families. Workers’ compensation </w:t>
      </w:r>
      <w:r w:rsidR="009D1D65" w:rsidRPr="003272B0">
        <w:rPr>
          <w:color w:val="000000" w:themeColor="text1"/>
          <w:sz w:val="22"/>
          <w:szCs w:val="22"/>
        </w:rPr>
        <w:t xml:space="preserve">became </w:t>
      </w:r>
      <w:r w:rsidRPr="003272B0">
        <w:rPr>
          <w:color w:val="000000" w:themeColor="text1"/>
          <w:sz w:val="22"/>
          <w:szCs w:val="22"/>
        </w:rPr>
        <w:t>the first source</w:t>
      </w:r>
      <w:r w:rsidR="00A42683" w:rsidRPr="003272B0">
        <w:rPr>
          <w:color w:val="000000" w:themeColor="text1"/>
          <w:sz w:val="22"/>
          <w:szCs w:val="22"/>
        </w:rPr>
        <w:t xml:space="preserve"> of occupational health and safety law</w:t>
      </w:r>
      <w:r w:rsidRPr="003272B0">
        <w:rPr>
          <w:color w:val="000000" w:themeColor="text1"/>
          <w:sz w:val="22"/>
          <w:szCs w:val="22"/>
        </w:rPr>
        <w:t xml:space="preserve">, which attempted to re-address the attribution of risk between workers and employers. </w:t>
      </w:r>
      <w:r w:rsidR="003C3558" w:rsidRPr="003272B0">
        <w:rPr>
          <w:color w:val="000000" w:themeColor="text1"/>
          <w:sz w:val="22"/>
          <w:szCs w:val="22"/>
        </w:rPr>
        <w:t>N</w:t>
      </w:r>
      <w:r w:rsidRPr="003272B0">
        <w:rPr>
          <w:color w:val="000000" w:themeColor="text1"/>
          <w:sz w:val="22"/>
          <w:szCs w:val="22"/>
        </w:rPr>
        <w:t>o-fault based workers’ compensation</w:t>
      </w:r>
      <w:r w:rsidR="003C3558" w:rsidRPr="003272B0">
        <w:rPr>
          <w:color w:val="000000" w:themeColor="text1"/>
          <w:sz w:val="22"/>
          <w:szCs w:val="22"/>
        </w:rPr>
        <w:t xml:space="preserve"> was esta</w:t>
      </w:r>
      <w:r w:rsidR="009A2920" w:rsidRPr="003272B0">
        <w:rPr>
          <w:color w:val="000000" w:themeColor="text1"/>
          <w:sz w:val="22"/>
          <w:szCs w:val="22"/>
        </w:rPr>
        <w:t xml:space="preserve">blished </w:t>
      </w:r>
      <w:r w:rsidR="00934A7B" w:rsidRPr="003272B0">
        <w:rPr>
          <w:color w:val="000000" w:themeColor="text1"/>
          <w:sz w:val="22"/>
          <w:szCs w:val="22"/>
        </w:rPr>
        <w:t xml:space="preserve">through </w:t>
      </w:r>
      <w:r w:rsidR="002E4412" w:rsidRPr="003272B0">
        <w:rPr>
          <w:color w:val="000000" w:themeColor="text1"/>
          <w:sz w:val="22"/>
          <w:szCs w:val="22"/>
        </w:rPr>
        <w:t>levying employers</w:t>
      </w:r>
      <w:r w:rsidRPr="003272B0">
        <w:rPr>
          <w:color w:val="000000" w:themeColor="text1"/>
          <w:sz w:val="22"/>
          <w:szCs w:val="22"/>
        </w:rPr>
        <w:t xml:space="preserve"> to ensure workers </w:t>
      </w:r>
      <w:r w:rsidR="002E4412" w:rsidRPr="003272B0">
        <w:rPr>
          <w:color w:val="000000" w:themeColor="text1"/>
          <w:sz w:val="22"/>
          <w:szCs w:val="22"/>
        </w:rPr>
        <w:t xml:space="preserve">would be </w:t>
      </w:r>
      <w:r w:rsidRPr="003272B0">
        <w:rPr>
          <w:color w:val="000000" w:themeColor="text1"/>
          <w:sz w:val="22"/>
          <w:szCs w:val="22"/>
        </w:rPr>
        <w:t>entitled to reasonable re</w:t>
      </w:r>
      <w:r w:rsidR="002E4412" w:rsidRPr="003272B0">
        <w:rPr>
          <w:color w:val="000000" w:themeColor="text1"/>
          <w:sz w:val="22"/>
          <w:szCs w:val="22"/>
        </w:rPr>
        <w:t>medies when industrial accidents occurred</w:t>
      </w:r>
      <w:r w:rsidRPr="003272B0">
        <w:rPr>
          <w:color w:val="000000" w:themeColor="text1"/>
          <w:sz w:val="22"/>
          <w:szCs w:val="22"/>
        </w:rPr>
        <w:t>. This rationale behind this is that modern industrial risks and the harm arising from it are the price should be paid by the</w:t>
      </w:r>
      <w:r w:rsidR="001319B2" w:rsidRPr="003272B0">
        <w:rPr>
          <w:color w:val="000000" w:themeColor="text1"/>
          <w:sz w:val="22"/>
          <w:szCs w:val="22"/>
        </w:rPr>
        <w:t xml:space="preserve"> industry</w:t>
      </w:r>
      <w:r w:rsidRPr="003272B0">
        <w:rPr>
          <w:color w:val="000000" w:themeColor="text1"/>
          <w:sz w:val="22"/>
          <w:szCs w:val="22"/>
        </w:rPr>
        <w:t xml:space="preserve">, rather than individuals. </w:t>
      </w:r>
      <w:r w:rsidR="00F44990" w:rsidRPr="003272B0">
        <w:rPr>
          <w:color w:val="000000" w:themeColor="text1"/>
          <w:sz w:val="22"/>
          <w:szCs w:val="22"/>
        </w:rPr>
        <w:t xml:space="preserve">Afterwards, </w:t>
      </w:r>
      <w:r w:rsidRPr="003272B0">
        <w:rPr>
          <w:color w:val="000000" w:themeColor="text1"/>
          <w:sz w:val="22"/>
          <w:szCs w:val="22"/>
        </w:rPr>
        <w:t xml:space="preserve">preventing and controlling risk </w:t>
      </w:r>
      <w:r w:rsidR="00F44990" w:rsidRPr="003272B0">
        <w:rPr>
          <w:color w:val="000000" w:themeColor="text1"/>
          <w:sz w:val="22"/>
          <w:szCs w:val="22"/>
        </w:rPr>
        <w:t xml:space="preserve">arising from industrial accidents was recognised as </w:t>
      </w:r>
      <w:r w:rsidRPr="003272B0">
        <w:rPr>
          <w:color w:val="000000" w:themeColor="text1"/>
          <w:sz w:val="22"/>
          <w:szCs w:val="22"/>
        </w:rPr>
        <w:t>a regulatory objective</w:t>
      </w:r>
      <w:r w:rsidR="00F44990" w:rsidRPr="003272B0">
        <w:rPr>
          <w:color w:val="000000" w:themeColor="text1"/>
          <w:sz w:val="22"/>
          <w:szCs w:val="22"/>
        </w:rPr>
        <w:t xml:space="preserve"> in modern societies</w:t>
      </w:r>
      <w:r w:rsidRPr="003272B0">
        <w:rPr>
          <w:color w:val="000000" w:themeColor="text1"/>
          <w:sz w:val="22"/>
          <w:szCs w:val="22"/>
        </w:rPr>
        <w:t>.</w:t>
      </w:r>
      <w:r w:rsidR="00F24444" w:rsidRPr="003272B0">
        <w:rPr>
          <w:color w:val="000000" w:themeColor="text1"/>
          <w:sz w:val="22"/>
          <w:szCs w:val="22"/>
        </w:rPr>
        <w:t xml:space="preserve"> </w:t>
      </w:r>
    </w:p>
    <w:p w14:paraId="70E9B65F" w14:textId="19339E96" w:rsidR="00452E19" w:rsidRPr="003272B0" w:rsidRDefault="00F24444" w:rsidP="002E1843">
      <w:pPr>
        <w:spacing w:line="480" w:lineRule="auto"/>
        <w:ind w:firstLine="720"/>
        <w:rPr>
          <w:color w:val="000000" w:themeColor="text1"/>
          <w:sz w:val="22"/>
          <w:szCs w:val="22"/>
        </w:rPr>
      </w:pPr>
      <w:r w:rsidRPr="003272B0">
        <w:rPr>
          <w:color w:val="000000" w:themeColor="text1"/>
          <w:sz w:val="22"/>
          <w:szCs w:val="22"/>
        </w:rPr>
        <w:t xml:space="preserve">Command and control </w:t>
      </w:r>
      <w:proofErr w:type="gramStart"/>
      <w:r w:rsidRPr="003272B0">
        <w:rPr>
          <w:color w:val="000000" w:themeColor="text1"/>
          <w:sz w:val="22"/>
          <w:szCs w:val="22"/>
        </w:rPr>
        <w:t>was</w:t>
      </w:r>
      <w:proofErr w:type="gramEnd"/>
      <w:r w:rsidRPr="003272B0">
        <w:rPr>
          <w:color w:val="000000" w:themeColor="text1"/>
          <w:sz w:val="22"/>
          <w:szCs w:val="22"/>
        </w:rPr>
        <w:t xml:space="preserve"> the</w:t>
      </w:r>
      <w:r w:rsidR="00011FD5" w:rsidRPr="003272B0">
        <w:rPr>
          <w:color w:val="000000" w:themeColor="text1"/>
          <w:sz w:val="22"/>
          <w:szCs w:val="22"/>
        </w:rPr>
        <w:t xml:space="preserve"> </w:t>
      </w:r>
      <w:r w:rsidR="00011FD5" w:rsidRPr="003272B0">
        <w:rPr>
          <w:rFonts w:hint="eastAsia"/>
          <w:color w:val="000000" w:themeColor="text1"/>
          <w:sz w:val="22"/>
          <w:szCs w:val="22"/>
        </w:rPr>
        <w:t>major</w:t>
      </w:r>
      <w:r w:rsidR="00011FD5" w:rsidRPr="003272B0">
        <w:rPr>
          <w:color w:val="000000" w:themeColor="text1"/>
          <w:sz w:val="22"/>
          <w:szCs w:val="22"/>
        </w:rPr>
        <w:t xml:space="preserve"> </w:t>
      </w:r>
      <w:r w:rsidR="00D91796" w:rsidRPr="003272B0">
        <w:rPr>
          <w:color w:val="000000" w:themeColor="text1"/>
          <w:sz w:val="22"/>
          <w:szCs w:val="22"/>
        </w:rPr>
        <w:t>approach in the</w:t>
      </w:r>
      <w:r w:rsidRPr="003272B0">
        <w:rPr>
          <w:color w:val="000000" w:themeColor="text1"/>
          <w:sz w:val="22"/>
          <w:szCs w:val="22"/>
        </w:rPr>
        <w:t xml:space="preserve"> first stage of occupational health and safety law</w:t>
      </w:r>
      <w:r w:rsidR="002B459C" w:rsidRPr="003272B0">
        <w:rPr>
          <w:color w:val="000000" w:themeColor="text1"/>
          <w:sz w:val="22"/>
          <w:szCs w:val="22"/>
        </w:rPr>
        <w:t xml:space="preserve"> in the 19</w:t>
      </w:r>
      <w:r w:rsidR="002B459C" w:rsidRPr="003272B0">
        <w:rPr>
          <w:color w:val="000000" w:themeColor="text1"/>
          <w:sz w:val="22"/>
          <w:szCs w:val="22"/>
          <w:vertAlign w:val="superscript"/>
        </w:rPr>
        <w:t>th</w:t>
      </w:r>
      <w:r w:rsidR="002B459C" w:rsidRPr="003272B0">
        <w:rPr>
          <w:color w:val="000000" w:themeColor="text1"/>
          <w:sz w:val="22"/>
          <w:szCs w:val="22"/>
        </w:rPr>
        <w:t xml:space="preserve"> century</w:t>
      </w:r>
      <w:r w:rsidR="00D91796" w:rsidRPr="003272B0">
        <w:rPr>
          <w:color w:val="000000" w:themeColor="text1"/>
          <w:sz w:val="22"/>
          <w:szCs w:val="22"/>
        </w:rPr>
        <w:t>.</w:t>
      </w:r>
      <w:r w:rsidR="002B459C" w:rsidRPr="003272B0">
        <w:rPr>
          <w:color w:val="000000" w:themeColor="text1"/>
          <w:sz w:val="22"/>
          <w:szCs w:val="22"/>
        </w:rPr>
        <w:t xml:space="preserve"> </w:t>
      </w:r>
      <w:r w:rsidR="005243C9" w:rsidRPr="003272B0">
        <w:rPr>
          <w:color w:val="000000" w:themeColor="text1"/>
          <w:sz w:val="22"/>
          <w:szCs w:val="22"/>
        </w:rPr>
        <w:t>The first ‘safety’ provisions, requiring the fencing of dangerous machinery,</w:t>
      </w:r>
      <w:r w:rsidR="00F56D24" w:rsidRPr="003272B0">
        <w:rPr>
          <w:color w:val="000000" w:themeColor="text1"/>
          <w:sz w:val="22"/>
          <w:szCs w:val="22"/>
        </w:rPr>
        <w:t xml:space="preserve"> appeared in the 1844 Factory Act in the UK</w:t>
      </w:r>
      <w:r w:rsidR="001144E0" w:rsidRPr="003272B0">
        <w:rPr>
          <w:color w:val="000000" w:themeColor="text1"/>
          <w:sz w:val="22"/>
          <w:szCs w:val="22"/>
        </w:rPr>
        <w:t>.</w:t>
      </w:r>
      <w:r w:rsidR="00F56D24" w:rsidRPr="003272B0">
        <w:rPr>
          <w:rStyle w:val="FootnoteReference"/>
          <w:color w:val="000000" w:themeColor="text1"/>
          <w:sz w:val="22"/>
          <w:szCs w:val="22"/>
        </w:rPr>
        <w:footnoteReference w:id="34"/>
      </w:r>
      <w:r w:rsidR="00F56D24" w:rsidRPr="003272B0">
        <w:rPr>
          <w:color w:val="000000" w:themeColor="text1"/>
          <w:sz w:val="22"/>
          <w:szCs w:val="22"/>
        </w:rPr>
        <w:t xml:space="preserve"> </w:t>
      </w:r>
      <w:r w:rsidR="00B55553" w:rsidRPr="003272B0">
        <w:rPr>
          <w:color w:val="000000" w:themeColor="text1"/>
          <w:sz w:val="22"/>
          <w:szCs w:val="22"/>
        </w:rPr>
        <w:t>According to the economist Sidney Webb, health and safety legislation was ‘a typical example of English practical empiricism’, considering it proceeded from ‘no abstract theory of social justice or the rights of man’ (unlike continental Napoleonic law), but instead responded pragmatically to particular problems as they emerged</w:t>
      </w:r>
      <w:r w:rsidR="001144E0" w:rsidRPr="003272B0">
        <w:rPr>
          <w:color w:val="000000" w:themeColor="text1"/>
          <w:sz w:val="22"/>
          <w:szCs w:val="22"/>
        </w:rPr>
        <w:t>.</w:t>
      </w:r>
      <w:r w:rsidR="00BD65AA" w:rsidRPr="003272B0">
        <w:rPr>
          <w:rStyle w:val="FootnoteReference"/>
          <w:color w:val="000000" w:themeColor="text1"/>
          <w:sz w:val="22"/>
          <w:szCs w:val="22"/>
        </w:rPr>
        <w:footnoteReference w:id="35"/>
      </w:r>
      <w:r w:rsidR="00BD65AA" w:rsidRPr="003272B0">
        <w:rPr>
          <w:color w:val="000000" w:themeColor="text1"/>
          <w:sz w:val="22"/>
          <w:szCs w:val="22"/>
        </w:rPr>
        <w:t xml:space="preserve"> </w:t>
      </w:r>
      <w:r w:rsidR="00CA6064" w:rsidRPr="003272B0">
        <w:rPr>
          <w:color w:val="000000" w:themeColor="text1"/>
          <w:sz w:val="22"/>
          <w:szCs w:val="22"/>
        </w:rPr>
        <w:t xml:space="preserve">In </w:t>
      </w:r>
      <w:r w:rsidR="00CA6064" w:rsidRPr="003272B0">
        <w:rPr>
          <w:color w:val="000000" w:themeColor="text1"/>
          <w:sz w:val="22"/>
          <w:szCs w:val="22"/>
        </w:rPr>
        <w:lastRenderedPageBreak/>
        <w:t xml:space="preserve">the 1960s, this direct “command and control” regulatory mode was criticized heavily due to the </w:t>
      </w:r>
      <w:r w:rsidR="00AB4040" w:rsidRPr="003272B0">
        <w:rPr>
          <w:color w:val="000000" w:themeColor="text1"/>
          <w:sz w:val="22"/>
          <w:szCs w:val="22"/>
        </w:rPr>
        <w:t>fragmen</w:t>
      </w:r>
      <w:r w:rsidR="000707B0" w:rsidRPr="003272B0">
        <w:rPr>
          <w:color w:val="000000" w:themeColor="text1"/>
          <w:sz w:val="22"/>
          <w:szCs w:val="22"/>
        </w:rPr>
        <w:t xml:space="preserve">tation of </w:t>
      </w:r>
      <w:r w:rsidR="00AB4040" w:rsidRPr="003272B0">
        <w:rPr>
          <w:color w:val="000000" w:themeColor="text1"/>
          <w:sz w:val="22"/>
          <w:szCs w:val="22"/>
        </w:rPr>
        <w:t xml:space="preserve">regulations: </w:t>
      </w:r>
      <w:r w:rsidR="004349F3" w:rsidRPr="003272B0">
        <w:rPr>
          <w:color w:val="000000" w:themeColor="text1"/>
          <w:sz w:val="22"/>
          <w:szCs w:val="22"/>
        </w:rPr>
        <w:t xml:space="preserve">there were nine acts and over 500 regulations governing workplace health and safety, as well as </w:t>
      </w:r>
      <w:r w:rsidR="008E06F1" w:rsidRPr="003272B0">
        <w:rPr>
          <w:color w:val="000000" w:themeColor="text1"/>
          <w:sz w:val="22"/>
          <w:szCs w:val="22"/>
        </w:rPr>
        <w:t>controlling special hazards.</w:t>
      </w:r>
      <w:r w:rsidR="008E06F1" w:rsidRPr="003272B0">
        <w:rPr>
          <w:rStyle w:val="FootnoteReference"/>
          <w:color w:val="000000" w:themeColor="text1"/>
          <w:sz w:val="22"/>
          <w:szCs w:val="22"/>
        </w:rPr>
        <w:footnoteReference w:id="36"/>
      </w:r>
      <w:r w:rsidR="008E06F1" w:rsidRPr="003272B0">
        <w:rPr>
          <w:color w:val="000000" w:themeColor="text1"/>
          <w:sz w:val="22"/>
          <w:szCs w:val="22"/>
        </w:rPr>
        <w:t xml:space="preserve"> On the other hand, </w:t>
      </w:r>
      <w:r w:rsidR="000707B0" w:rsidRPr="003272B0">
        <w:rPr>
          <w:color w:val="000000" w:themeColor="text1"/>
          <w:sz w:val="22"/>
          <w:szCs w:val="22"/>
        </w:rPr>
        <w:t xml:space="preserve">weakness of the enforcement was identified: </w:t>
      </w:r>
      <w:r w:rsidR="008E06F1" w:rsidRPr="003272B0">
        <w:rPr>
          <w:color w:val="000000" w:themeColor="text1"/>
          <w:sz w:val="22"/>
          <w:szCs w:val="22"/>
        </w:rPr>
        <w:t xml:space="preserve">although </w:t>
      </w:r>
      <w:r w:rsidR="00E1223B" w:rsidRPr="003272B0">
        <w:rPr>
          <w:color w:val="000000" w:themeColor="text1"/>
          <w:sz w:val="22"/>
          <w:szCs w:val="22"/>
        </w:rPr>
        <w:t xml:space="preserve">factory inspectorates </w:t>
      </w:r>
      <w:r w:rsidR="008E06F1" w:rsidRPr="003272B0">
        <w:rPr>
          <w:color w:val="000000" w:themeColor="text1"/>
          <w:sz w:val="22"/>
          <w:szCs w:val="22"/>
        </w:rPr>
        <w:t xml:space="preserve">were authorized </w:t>
      </w:r>
      <w:r w:rsidR="00E1223B" w:rsidRPr="003272B0">
        <w:rPr>
          <w:color w:val="000000" w:themeColor="text1"/>
          <w:sz w:val="22"/>
          <w:szCs w:val="22"/>
        </w:rPr>
        <w:t xml:space="preserve">legal power to </w:t>
      </w:r>
      <w:r w:rsidR="00B80C50" w:rsidRPr="003272B0">
        <w:rPr>
          <w:color w:val="000000" w:themeColor="text1"/>
          <w:sz w:val="22"/>
          <w:szCs w:val="22"/>
        </w:rPr>
        <w:t xml:space="preserve">correct and persecute </w:t>
      </w:r>
      <w:r w:rsidR="00D87E70" w:rsidRPr="003272B0">
        <w:rPr>
          <w:color w:val="000000" w:themeColor="text1"/>
          <w:sz w:val="22"/>
          <w:szCs w:val="22"/>
        </w:rPr>
        <w:t xml:space="preserve">infringements of OHS law. They were unwilling to </w:t>
      </w:r>
      <w:r w:rsidR="00EA7F34" w:rsidRPr="003272B0">
        <w:rPr>
          <w:color w:val="000000" w:themeColor="text1"/>
          <w:sz w:val="22"/>
          <w:szCs w:val="22"/>
        </w:rPr>
        <w:t xml:space="preserve">persecute the employers, </w:t>
      </w:r>
      <w:r w:rsidR="00452E19" w:rsidRPr="003272B0">
        <w:rPr>
          <w:color w:val="000000" w:themeColor="text1"/>
          <w:sz w:val="22"/>
          <w:szCs w:val="22"/>
        </w:rPr>
        <w:t>to some extent because many of these middle-class businessmen</w:t>
      </w:r>
      <w:r w:rsidR="00643FA8" w:rsidRPr="003272B0">
        <w:rPr>
          <w:color w:val="000000" w:themeColor="text1"/>
          <w:sz w:val="22"/>
          <w:szCs w:val="22"/>
        </w:rPr>
        <w:t xml:space="preserve"> </w:t>
      </w:r>
      <w:r w:rsidR="00452E19" w:rsidRPr="003272B0">
        <w:rPr>
          <w:color w:val="000000" w:themeColor="text1"/>
          <w:sz w:val="22"/>
          <w:szCs w:val="22"/>
        </w:rPr>
        <w:t>were also magistrate</w:t>
      </w:r>
      <w:r w:rsidR="00643FA8" w:rsidRPr="003272B0">
        <w:rPr>
          <w:color w:val="000000" w:themeColor="text1"/>
          <w:sz w:val="22"/>
          <w:szCs w:val="22"/>
        </w:rPr>
        <w:t>s.</w:t>
      </w:r>
      <w:r w:rsidR="00643FA8" w:rsidRPr="003272B0">
        <w:rPr>
          <w:rStyle w:val="FootnoteReference"/>
          <w:color w:val="000000" w:themeColor="text1"/>
          <w:sz w:val="22"/>
          <w:szCs w:val="22"/>
        </w:rPr>
        <w:footnoteReference w:id="37"/>
      </w:r>
      <w:r w:rsidR="00643FA8" w:rsidRPr="003272B0">
        <w:rPr>
          <w:color w:val="000000" w:themeColor="text1"/>
          <w:sz w:val="22"/>
          <w:szCs w:val="22"/>
        </w:rPr>
        <w:t xml:space="preserve"> </w:t>
      </w:r>
      <w:r w:rsidR="00304EB6" w:rsidRPr="003272B0">
        <w:rPr>
          <w:rFonts w:hint="eastAsia"/>
          <w:color w:val="000000" w:themeColor="text1"/>
          <w:sz w:val="22"/>
          <w:szCs w:val="22"/>
        </w:rPr>
        <w:t>The</w:t>
      </w:r>
      <w:r w:rsidR="00304EB6" w:rsidRPr="003272B0">
        <w:rPr>
          <w:color w:val="000000" w:themeColor="text1"/>
          <w:sz w:val="22"/>
          <w:szCs w:val="22"/>
        </w:rPr>
        <w:t xml:space="preserve"> health and safety inspection system were gradually converted </w:t>
      </w:r>
      <w:r w:rsidR="00685EC3" w:rsidRPr="003272B0">
        <w:rPr>
          <w:color w:val="000000" w:themeColor="text1"/>
          <w:sz w:val="22"/>
          <w:szCs w:val="22"/>
        </w:rPr>
        <w:t>from a ‘conflict-oriented</w:t>
      </w:r>
      <w:r w:rsidR="00DA5614" w:rsidRPr="003272B0">
        <w:rPr>
          <w:color w:val="000000" w:themeColor="text1"/>
          <w:sz w:val="22"/>
          <w:szCs w:val="22"/>
        </w:rPr>
        <w:t>’</w:t>
      </w:r>
      <w:r w:rsidR="00685EC3" w:rsidRPr="003272B0">
        <w:rPr>
          <w:color w:val="000000" w:themeColor="text1"/>
          <w:sz w:val="22"/>
          <w:szCs w:val="22"/>
        </w:rPr>
        <w:t xml:space="preserve"> enforcement to a </w:t>
      </w:r>
      <w:r w:rsidR="00DA5614" w:rsidRPr="003272B0">
        <w:rPr>
          <w:color w:val="000000" w:themeColor="text1"/>
          <w:sz w:val="22"/>
          <w:szCs w:val="22"/>
        </w:rPr>
        <w:t>‘</w:t>
      </w:r>
      <w:r w:rsidR="00685EC3" w:rsidRPr="003272B0">
        <w:rPr>
          <w:color w:val="000000" w:themeColor="text1"/>
          <w:sz w:val="22"/>
          <w:szCs w:val="22"/>
        </w:rPr>
        <w:t>consensus-oriented</w:t>
      </w:r>
      <w:r w:rsidR="00DA5614" w:rsidRPr="003272B0">
        <w:rPr>
          <w:color w:val="000000" w:themeColor="text1"/>
          <w:sz w:val="22"/>
          <w:szCs w:val="22"/>
        </w:rPr>
        <w:t>’</w:t>
      </w:r>
      <w:r w:rsidR="005204A2" w:rsidRPr="003272B0">
        <w:rPr>
          <w:color w:val="000000" w:themeColor="text1"/>
          <w:sz w:val="22"/>
          <w:szCs w:val="22"/>
        </w:rPr>
        <w:t xml:space="preserve"> one. </w:t>
      </w:r>
      <w:r w:rsidR="00182A23" w:rsidRPr="003272B0">
        <w:rPr>
          <w:color w:val="000000" w:themeColor="text1"/>
          <w:sz w:val="22"/>
          <w:szCs w:val="22"/>
        </w:rPr>
        <w:t>Meanwhile</w:t>
      </w:r>
      <w:r w:rsidR="007402F7" w:rsidRPr="003272B0">
        <w:rPr>
          <w:color w:val="000000" w:themeColor="text1"/>
          <w:sz w:val="22"/>
          <w:szCs w:val="22"/>
        </w:rPr>
        <w:t xml:space="preserve">, voluntary </w:t>
      </w:r>
      <w:r w:rsidR="00B23F9B" w:rsidRPr="003272B0">
        <w:rPr>
          <w:color w:val="000000" w:themeColor="text1"/>
          <w:sz w:val="22"/>
          <w:szCs w:val="22"/>
        </w:rPr>
        <w:t>safety management approaches were undertaken</w:t>
      </w:r>
      <w:r w:rsidR="00A36148" w:rsidRPr="003272B0">
        <w:rPr>
          <w:color w:val="000000" w:themeColor="text1"/>
          <w:sz w:val="22"/>
          <w:szCs w:val="22"/>
        </w:rPr>
        <w:t xml:space="preserve"> </w:t>
      </w:r>
      <w:r w:rsidR="00A40135" w:rsidRPr="003272B0">
        <w:rPr>
          <w:color w:val="000000" w:themeColor="text1"/>
          <w:sz w:val="22"/>
          <w:szCs w:val="22"/>
        </w:rPr>
        <w:t>by factory employers</w:t>
      </w:r>
      <w:r w:rsidR="00182A23" w:rsidRPr="003272B0">
        <w:rPr>
          <w:color w:val="000000" w:themeColor="text1"/>
          <w:sz w:val="22"/>
          <w:szCs w:val="22"/>
        </w:rPr>
        <w:t xml:space="preserve">, which informed the philosophy </w:t>
      </w:r>
      <w:r w:rsidR="006326CF" w:rsidRPr="003272B0">
        <w:rPr>
          <w:color w:val="000000" w:themeColor="text1"/>
          <w:sz w:val="22"/>
          <w:szCs w:val="22"/>
        </w:rPr>
        <w:t xml:space="preserve">of self-regulation, which was </w:t>
      </w:r>
      <w:r w:rsidR="004E2E3D" w:rsidRPr="003272B0">
        <w:rPr>
          <w:color w:val="000000" w:themeColor="text1"/>
          <w:sz w:val="22"/>
          <w:szCs w:val="22"/>
        </w:rPr>
        <w:t xml:space="preserve">recommended in the </w:t>
      </w:r>
      <w:r w:rsidR="004D76C4" w:rsidRPr="003272B0">
        <w:rPr>
          <w:color w:val="000000" w:themeColor="text1"/>
          <w:sz w:val="22"/>
          <w:szCs w:val="22"/>
        </w:rPr>
        <w:t xml:space="preserve">1972 </w:t>
      </w:r>
      <w:r w:rsidR="004E2E3D" w:rsidRPr="003272B0">
        <w:rPr>
          <w:color w:val="000000" w:themeColor="text1"/>
          <w:sz w:val="22"/>
          <w:szCs w:val="22"/>
        </w:rPr>
        <w:t>Report</w:t>
      </w:r>
      <w:r w:rsidR="00F80536" w:rsidRPr="003272B0">
        <w:rPr>
          <w:color w:val="000000" w:themeColor="text1"/>
          <w:sz w:val="22"/>
          <w:szCs w:val="22"/>
        </w:rPr>
        <w:t xml:space="preserve"> of </w:t>
      </w:r>
      <w:r w:rsidR="004908B3" w:rsidRPr="003272B0">
        <w:rPr>
          <w:color w:val="000000" w:themeColor="text1"/>
          <w:sz w:val="22"/>
          <w:szCs w:val="22"/>
        </w:rPr>
        <w:t>the Committee on Safety and Health at Work</w:t>
      </w:r>
      <w:r w:rsidR="004D76C4" w:rsidRPr="003272B0">
        <w:rPr>
          <w:color w:val="000000" w:themeColor="text1"/>
          <w:sz w:val="22"/>
          <w:szCs w:val="22"/>
        </w:rPr>
        <w:t xml:space="preserve">, i.e. the </w:t>
      </w:r>
      <w:proofErr w:type="spellStart"/>
      <w:r w:rsidR="004D76C4" w:rsidRPr="003272B0">
        <w:rPr>
          <w:color w:val="000000" w:themeColor="text1"/>
          <w:sz w:val="22"/>
          <w:szCs w:val="22"/>
        </w:rPr>
        <w:t>Robens</w:t>
      </w:r>
      <w:proofErr w:type="spellEnd"/>
      <w:r w:rsidR="004D76C4" w:rsidRPr="003272B0">
        <w:rPr>
          <w:color w:val="000000" w:themeColor="text1"/>
          <w:sz w:val="22"/>
          <w:szCs w:val="22"/>
        </w:rPr>
        <w:t xml:space="preserve"> Report</w:t>
      </w:r>
      <w:r w:rsidR="004E2E3D" w:rsidRPr="003272B0">
        <w:rPr>
          <w:color w:val="000000" w:themeColor="text1"/>
          <w:sz w:val="22"/>
          <w:szCs w:val="22"/>
        </w:rPr>
        <w:t>.</w:t>
      </w:r>
      <w:r w:rsidR="004E2E3D" w:rsidRPr="003272B0">
        <w:rPr>
          <w:rStyle w:val="FootnoteReference"/>
          <w:color w:val="000000" w:themeColor="text1"/>
          <w:sz w:val="22"/>
          <w:szCs w:val="22"/>
        </w:rPr>
        <w:footnoteReference w:id="38"/>
      </w:r>
      <w:r w:rsidR="00631644" w:rsidRPr="003272B0">
        <w:rPr>
          <w:color w:val="000000" w:themeColor="text1"/>
          <w:sz w:val="22"/>
          <w:szCs w:val="22"/>
        </w:rPr>
        <w:t xml:space="preserve"> At this stage, a</w:t>
      </w:r>
      <w:r w:rsidR="00E67E16" w:rsidRPr="003272B0">
        <w:rPr>
          <w:color w:val="000000" w:themeColor="text1"/>
          <w:sz w:val="22"/>
          <w:szCs w:val="22"/>
        </w:rPr>
        <w:t xml:space="preserve"> shared internal responsibility system was introduced in the occupational health and safety regulatio</w:t>
      </w:r>
      <w:r w:rsidR="00610416" w:rsidRPr="003272B0">
        <w:rPr>
          <w:color w:val="000000" w:themeColor="text1"/>
          <w:sz w:val="22"/>
          <w:szCs w:val="22"/>
        </w:rPr>
        <w:t>n</w:t>
      </w:r>
      <w:r w:rsidR="00C9267A" w:rsidRPr="003272B0">
        <w:rPr>
          <w:color w:val="000000" w:themeColor="text1"/>
          <w:sz w:val="22"/>
          <w:szCs w:val="22"/>
        </w:rPr>
        <w:t>, which means that although the employer has primary responsibility, all workplace stakeholders, including supervisors and workers, have statutory duties to ensure compliance.</w:t>
      </w:r>
    </w:p>
    <w:p w14:paraId="33479E1E" w14:textId="5C1D7268" w:rsidR="003B5F91" w:rsidRPr="003272B0" w:rsidRDefault="008058BC" w:rsidP="002E1843">
      <w:pPr>
        <w:spacing w:line="480" w:lineRule="auto"/>
        <w:ind w:firstLine="720"/>
        <w:rPr>
          <w:color w:val="000000" w:themeColor="text1"/>
          <w:sz w:val="22"/>
          <w:szCs w:val="22"/>
        </w:rPr>
      </w:pPr>
      <w:r w:rsidRPr="003272B0">
        <w:rPr>
          <w:color w:val="000000" w:themeColor="text1"/>
          <w:sz w:val="22"/>
          <w:szCs w:val="22"/>
        </w:rPr>
        <w:t>In the maritime sector, t</w:t>
      </w:r>
      <w:r w:rsidR="003B5F91" w:rsidRPr="003272B0">
        <w:rPr>
          <w:color w:val="000000" w:themeColor="text1"/>
          <w:sz w:val="22"/>
          <w:szCs w:val="22"/>
        </w:rPr>
        <w:t xml:space="preserve">he development of occupational health and safety </w:t>
      </w:r>
      <w:r w:rsidR="00EF2989" w:rsidRPr="003272B0">
        <w:rPr>
          <w:color w:val="000000" w:themeColor="text1"/>
          <w:sz w:val="22"/>
          <w:szCs w:val="22"/>
        </w:rPr>
        <w:t xml:space="preserve">regulation </w:t>
      </w:r>
      <w:r w:rsidR="00BA1E25" w:rsidRPr="003272B0">
        <w:rPr>
          <w:color w:val="000000" w:themeColor="text1"/>
          <w:sz w:val="22"/>
          <w:szCs w:val="22"/>
        </w:rPr>
        <w:t xml:space="preserve">were </w:t>
      </w:r>
      <w:r w:rsidR="0063180C" w:rsidRPr="003272B0">
        <w:rPr>
          <w:rFonts w:hint="eastAsia"/>
          <w:color w:val="000000" w:themeColor="text1"/>
          <w:sz w:val="22"/>
          <w:szCs w:val="22"/>
        </w:rPr>
        <w:t>a</w:t>
      </w:r>
      <w:r w:rsidR="0063180C" w:rsidRPr="003272B0">
        <w:rPr>
          <w:color w:val="000000" w:themeColor="text1"/>
          <w:sz w:val="22"/>
          <w:szCs w:val="22"/>
        </w:rPr>
        <w:t>lso driven non-state actors</w:t>
      </w:r>
      <w:r w:rsidR="00F52B84" w:rsidRPr="003272B0">
        <w:rPr>
          <w:color w:val="000000" w:themeColor="text1"/>
          <w:sz w:val="22"/>
          <w:szCs w:val="22"/>
        </w:rPr>
        <w:t>, including both of international organisations, as well as</w:t>
      </w:r>
      <w:r w:rsidR="00E67C1D" w:rsidRPr="003272B0">
        <w:rPr>
          <w:color w:val="000000" w:themeColor="text1"/>
          <w:sz w:val="22"/>
          <w:szCs w:val="22"/>
        </w:rPr>
        <w:t xml:space="preserve"> industrial organisations.</w:t>
      </w:r>
      <w:r w:rsidR="00327891" w:rsidRPr="003272B0">
        <w:rPr>
          <w:color w:val="000000" w:themeColor="text1"/>
          <w:sz w:val="22"/>
          <w:szCs w:val="22"/>
        </w:rPr>
        <w:t xml:space="preserve"> The global nature of the maritime activities, shipping in particular</w:t>
      </w:r>
      <w:r w:rsidR="008340ED" w:rsidRPr="003272B0">
        <w:rPr>
          <w:color w:val="000000" w:themeColor="text1"/>
          <w:sz w:val="22"/>
          <w:szCs w:val="22"/>
        </w:rPr>
        <w:t xml:space="preserve">, </w:t>
      </w:r>
      <w:r w:rsidR="00A90888" w:rsidRPr="003272B0">
        <w:rPr>
          <w:color w:val="000000" w:themeColor="text1"/>
          <w:sz w:val="22"/>
          <w:szCs w:val="22"/>
        </w:rPr>
        <w:t xml:space="preserve">requires uniformed the consistent safety standards </w:t>
      </w:r>
      <w:r w:rsidR="00C26865" w:rsidRPr="003272B0">
        <w:rPr>
          <w:color w:val="000000" w:themeColor="text1"/>
          <w:sz w:val="22"/>
          <w:szCs w:val="22"/>
        </w:rPr>
        <w:t xml:space="preserve">applicable to international ships regardless of </w:t>
      </w:r>
      <w:r w:rsidR="00BE2341" w:rsidRPr="003272B0">
        <w:rPr>
          <w:color w:val="000000" w:themeColor="text1"/>
          <w:sz w:val="22"/>
          <w:szCs w:val="22"/>
        </w:rPr>
        <w:t xml:space="preserve">their </w:t>
      </w:r>
      <w:r w:rsidR="00C26865" w:rsidRPr="003272B0">
        <w:rPr>
          <w:color w:val="000000" w:themeColor="text1"/>
          <w:sz w:val="22"/>
          <w:szCs w:val="22"/>
        </w:rPr>
        <w:t>flags.</w:t>
      </w:r>
      <w:r w:rsidR="00F32E21" w:rsidRPr="003272B0">
        <w:rPr>
          <w:color w:val="000000" w:themeColor="text1"/>
          <w:sz w:val="22"/>
          <w:szCs w:val="22"/>
        </w:rPr>
        <w:t xml:space="preserve"> With the continuous efforts of </w:t>
      </w:r>
      <w:r w:rsidR="00F32E21" w:rsidRPr="003272B0">
        <w:rPr>
          <w:color w:val="000000" w:themeColor="text1"/>
          <w:sz w:val="22"/>
          <w:szCs w:val="22"/>
        </w:rPr>
        <w:lastRenderedPageBreak/>
        <w:t>the International Maritime Organisation</w:t>
      </w:r>
      <w:r w:rsidR="00D113CF" w:rsidRPr="003272B0">
        <w:rPr>
          <w:color w:val="000000" w:themeColor="text1"/>
          <w:sz w:val="22"/>
          <w:szCs w:val="22"/>
        </w:rPr>
        <w:t xml:space="preserve">, </w:t>
      </w:r>
      <w:r w:rsidR="001B2C80" w:rsidRPr="003272B0">
        <w:rPr>
          <w:color w:val="000000" w:themeColor="text1"/>
          <w:sz w:val="22"/>
          <w:szCs w:val="22"/>
        </w:rPr>
        <w:t xml:space="preserve">a series of international legal instruments, </w:t>
      </w:r>
      <w:r w:rsidR="00B87A55" w:rsidRPr="003272B0">
        <w:rPr>
          <w:color w:val="000000" w:themeColor="text1"/>
          <w:sz w:val="22"/>
          <w:szCs w:val="22"/>
        </w:rPr>
        <w:t xml:space="preserve">such as the International Convention for </w:t>
      </w:r>
      <w:r w:rsidR="001B2C80" w:rsidRPr="003272B0">
        <w:rPr>
          <w:color w:val="000000" w:themeColor="text1"/>
          <w:sz w:val="22"/>
          <w:szCs w:val="22"/>
        </w:rPr>
        <w:t>Safety of Life at Sea,</w:t>
      </w:r>
      <w:r w:rsidR="00B87A55" w:rsidRPr="003272B0">
        <w:rPr>
          <w:color w:val="000000" w:themeColor="text1"/>
          <w:sz w:val="22"/>
          <w:szCs w:val="22"/>
        </w:rPr>
        <w:t xml:space="preserve"> 1974</w:t>
      </w:r>
      <w:r w:rsidR="00A143A1" w:rsidRPr="003272B0">
        <w:rPr>
          <w:color w:val="000000" w:themeColor="text1"/>
          <w:sz w:val="22"/>
          <w:szCs w:val="22"/>
        </w:rPr>
        <w:t xml:space="preserve"> and </w:t>
      </w:r>
      <w:r w:rsidR="00F86318" w:rsidRPr="003272B0">
        <w:rPr>
          <w:color w:val="000000" w:themeColor="text1"/>
          <w:sz w:val="22"/>
          <w:szCs w:val="22"/>
        </w:rPr>
        <w:t>the International Convention on Standards of Training, Certification and Watchkeeping for Seafarers (STCW)</w:t>
      </w:r>
      <w:r w:rsidR="000E2D84" w:rsidRPr="003272B0">
        <w:rPr>
          <w:color w:val="000000" w:themeColor="text1"/>
          <w:sz w:val="22"/>
          <w:szCs w:val="22"/>
        </w:rPr>
        <w:t>, 1995</w:t>
      </w:r>
      <w:r w:rsidR="009B5D4C" w:rsidRPr="003272B0">
        <w:rPr>
          <w:color w:val="000000" w:themeColor="text1"/>
          <w:sz w:val="22"/>
          <w:szCs w:val="22"/>
        </w:rPr>
        <w:t xml:space="preserve">, have been </w:t>
      </w:r>
      <w:r w:rsidR="00A143A1" w:rsidRPr="003272B0">
        <w:rPr>
          <w:color w:val="000000" w:themeColor="text1"/>
          <w:sz w:val="22"/>
          <w:szCs w:val="22"/>
        </w:rPr>
        <w:t xml:space="preserve">introduced to regulate safety </w:t>
      </w:r>
      <w:r w:rsidR="000E2D84" w:rsidRPr="003272B0">
        <w:rPr>
          <w:color w:val="000000" w:themeColor="text1"/>
          <w:sz w:val="22"/>
          <w:szCs w:val="22"/>
        </w:rPr>
        <w:t>and competency of seafarers.</w:t>
      </w:r>
      <w:r w:rsidR="00E3368A" w:rsidRPr="003272B0">
        <w:rPr>
          <w:color w:val="000000" w:themeColor="text1"/>
          <w:sz w:val="22"/>
          <w:szCs w:val="22"/>
        </w:rPr>
        <w:t xml:space="preserve"> In addition, </w:t>
      </w:r>
      <w:r w:rsidR="007065B0" w:rsidRPr="003272B0">
        <w:rPr>
          <w:color w:val="000000" w:themeColor="text1"/>
          <w:sz w:val="22"/>
          <w:szCs w:val="22"/>
        </w:rPr>
        <w:t xml:space="preserve">global </w:t>
      </w:r>
      <w:r w:rsidR="00000B30" w:rsidRPr="003272B0">
        <w:rPr>
          <w:color w:val="000000" w:themeColor="text1"/>
          <w:sz w:val="22"/>
          <w:szCs w:val="22"/>
        </w:rPr>
        <w:t xml:space="preserve">industrial organisations, </w:t>
      </w:r>
      <w:r w:rsidR="004C34EA" w:rsidRPr="003272B0">
        <w:rPr>
          <w:color w:val="000000" w:themeColor="text1"/>
          <w:sz w:val="22"/>
          <w:szCs w:val="22"/>
        </w:rPr>
        <w:t>including c</w:t>
      </w:r>
      <w:r w:rsidR="00D1617C" w:rsidRPr="003272B0">
        <w:rPr>
          <w:color w:val="000000" w:themeColor="text1"/>
          <w:sz w:val="22"/>
          <w:szCs w:val="22"/>
        </w:rPr>
        <w:t>lassification societ</w:t>
      </w:r>
      <w:r w:rsidR="00000B30" w:rsidRPr="003272B0">
        <w:rPr>
          <w:color w:val="000000" w:themeColor="text1"/>
          <w:sz w:val="22"/>
          <w:szCs w:val="22"/>
        </w:rPr>
        <w:t>ies</w:t>
      </w:r>
      <w:r w:rsidR="00D1617C" w:rsidRPr="003272B0">
        <w:rPr>
          <w:color w:val="000000" w:themeColor="text1"/>
          <w:sz w:val="22"/>
          <w:szCs w:val="22"/>
        </w:rPr>
        <w:t xml:space="preserve">, </w:t>
      </w:r>
      <w:r w:rsidR="00000B30" w:rsidRPr="003272B0">
        <w:rPr>
          <w:color w:val="000000" w:themeColor="text1"/>
          <w:sz w:val="22"/>
          <w:szCs w:val="22"/>
        </w:rPr>
        <w:t>Protection and Indemnity Clubs (liability insurers)</w:t>
      </w:r>
      <w:r w:rsidR="00D76344" w:rsidRPr="003272B0">
        <w:rPr>
          <w:color w:val="000000" w:themeColor="text1"/>
          <w:sz w:val="22"/>
          <w:szCs w:val="22"/>
        </w:rPr>
        <w:t xml:space="preserve">, </w:t>
      </w:r>
      <w:r w:rsidR="001B1011" w:rsidRPr="003272B0">
        <w:rPr>
          <w:color w:val="000000" w:themeColor="text1"/>
          <w:sz w:val="22"/>
          <w:szCs w:val="22"/>
        </w:rPr>
        <w:t xml:space="preserve">and Oil Companies International Marine Forum (OCIMF), plays as </w:t>
      </w:r>
      <w:r w:rsidR="0016669C" w:rsidRPr="003272B0">
        <w:rPr>
          <w:color w:val="000000" w:themeColor="text1"/>
          <w:sz w:val="22"/>
          <w:szCs w:val="22"/>
        </w:rPr>
        <w:t xml:space="preserve">“private regulators”, promoting the enforcement of the international conventions, developing guidelines for maritime safety practice </w:t>
      </w:r>
      <w:r w:rsidR="009752BF" w:rsidRPr="003272B0">
        <w:rPr>
          <w:color w:val="000000" w:themeColor="text1"/>
          <w:sz w:val="22"/>
          <w:szCs w:val="22"/>
        </w:rPr>
        <w:t xml:space="preserve">and </w:t>
      </w:r>
      <w:r w:rsidR="00771FAD" w:rsidRPr="003272B0">
        <w:rPr>
          <w:color w:val="000000" w:themeColor="text1"/>
          <w:sz w:val="22"/>
          <w:szCs w:val="22"/>
        </w:rPr>
        <w:t>conducting private inspection of compliance</w:t>
      </w:r>
      <w:r w:rsidR="00A20DBC" w:rsidRPr="003272B0">
        <w:rPr>
          <w:color w:val="000000" w:themeColor="text1"/>
          <w:sz w:val="22"/>
          <w:szCs w:val="22"/>
        </w:rPr>
        <w:t>.</w:t>
      </w:r>
      <w:r w:rsidR="00AE70EA" w:rsidRPr="003272B0">
        <w:rPr>
          <w:rStyle w:val="FootnoteReference"/>
          <w:color w:val="000000" w:themeColor="text1"/>
          <w:sz w:val="22"/>
          <w:szCs w:val="22"/>
        </w:rPr>
        <w:footnoteReference w:id="39"/>
      </w:r>
    </w:p>
    <w:p w14:paraId="36124EC1" w14:textId="650207F9" w:rsidR="003D3ACC" w:rsidRPr="003272B0" w:rsidRDefault="002E5837" w:rsidP="002E1843">
      <w:pPr>
        <w:spacing w:line="480" w:lineRule="auto"/>
        <w:ind w:firstLine="720"/>
        <w:rPr>
          <w:color w:val="000000" w:themeColor="text1"/>
          <w:sz w:val="22"/>
          <w:szCs w:val="22"/>
        </w:rPr>
      </w:pPr>
      <w:r w:rsidRPr="003272B0">
        <w:rPr>
          <w:color w:val="000000" w:themeColor="text1"/>
          <w:sz w:val="22"/>
          <w:szCs w:val="22"/>
        </w:rPr>
        <w:t xml:space="preserve">However, the issue of maritime safety has for many years emphasized technical aspects and prevention of accidents </w:t>
      </w:r>
      <w:r w:rsidR="00900B5A" w:rsidRPr="003272B0">
        <w:rPr>
          <w:color w:val="000000" w:themeColor="text1"/>
          <w:sz w:val="22"/>
          <w:szCs w:val="22"/>
        </w:rPr>
        <w:t>to the ship through rectification of operational de</w:t>
      </w:r>
      <w:r w:rsidR="00370D96" w:rsidRPr="003272B0">
        <w:rPr>
          <w:color w:val="000000" w:themeColor="text1"/>
          <w:sz w:val="22"/>
          <w:szCs w:val="22"/>
        </w:rPr>
        <w:t>ficiencies and incompetency of seafarers</w:t>
      </w:r>
      <w:r w:rsidR="00476D2E" w:rsidRPr="003272B0">
        <w:rPr>
          <w:color w:val="000000" w:themeColor="text1"/>
          <w:sz w:val="22"/>
          <w:szCs w:val="22"/>
        </w:rPr>
        <w:t xml:space="preserve">. These efforts were primarily concerned with the efficiency </w:t>
      </w:r>
      <w:r w:rsidR="00C86F71" w:rsidRPr="003272B0">
        <w:rPr>
          <w:color w:val="000000" w:themeColor="text1"/>
          <w:sz w:val="22"/>
          <w:szCs w:val="22"/>
        </w:rPr>
        <w:t xml:space="preserve">of maritime operation </w:t>
      </w:r>
      <w:r w:rsidR="00BC2B81" w:rsidRPr="003272B0">
        <w:rPr>
          <w:color w:val="000000" w:themeColor="text1"/>
          <w:sz w:val="22"/>
          <w:szCs w:val="22"/>
        </w:rPr>
        <w:t xml:space="preserve">through preventing accidents to ships, </w:t>
      </w:r>
      <w:r w:rsidR="00370D96" w:rsidRPr="003272B0">
        <w:rPr>
          <w:color w:val="000000" w:themeColor="text1"/>
          <w:sz w:val="22"/>
          <w:szCs w:val="22"/>
        </w:rPr>
        <w:t xml:space="preserve">while aspects of occupational </w:t>
      </w:r>
      <w:r w:rsidR="00FF4FC3" w:rsidRPr="003272B0">
        <w:rPr>
          <w:color w:val="000000" w:themeColor="text1"/>
          <w:sz w:val="22"/>
          <w:szCs w:val="22"/>
        </w:rPr>
        <w:t>health and safety</w:t>
      </w:r>
      <w:r w:rsidR="00985E94" w:rsidRPr="003272B0">
        <w:rPr>
          <w:color w:val="000000" w:themeColor="text1"/>
          <w:sz w:val="22"/>
          <w:szCs w:val="22"/>
        </w:rPr>
        <w:t xml:space="preserve">, in particular the aspects related to individual workers’ health, </w:t>
      </w:r>
      <w:r w:rsidR="00FF4FC3" w:rsidRPr="003272B0">
        <w:rPr>
          <w:color w:val="000000" w:themeColor="text1"/>
          <w:sz w:val="22"/>
          <w:szCs w:val="22"/>
        </w:rPr>
        <w:t>in the workplace have had a comparatively low priority.</w:t>
      </w:r>
      <w:r w:rsidR="00FF4FC3" w:rsidRPr="003272B0">
        <w:rPr>
          <w:rStyle w:val="FootnoteReference"/>
          <w:color w:val="000000" w:themeColor="text1"/>
          <w:sz w:val="22"/>
          <w:szCs w:val="22"/>
        </w:rPr>
        <w:footnoteReference w:id="40"/>
      </w:r>
      <w:r w:rsidR="00FF4FC3" w:rsidRPr="003272B0">
        <w:rPr>
          <w:color w:val="000000" w:themeColor="text1"/>
          <w:sz w:val="22"/>
          <w:szCs w:val="22"/>
        </w:rPr>
        <w:t xml:space="preserve"> </w:t>
      </w:r>
      <w:r w:rsidR="008058BC" w:rsidRPr="003272B0">
        <w:rPr>
          <w:color w:val="000000" w:themeColor="text1"/>
          <w:sz w:val="22"/>
          <w:szCs w:val="22"/>
        </w:rPr>
        <w:t>In addition, as an empirical study shows, the “blame culture” existed in the ship management discourages seafarers to report accidents and express their safety concerns in the workplace, which undermines the effectiveness of the International Safety Management Code</w:t>
      </w:r>
      <w:r w:rsidR="008058BC" w:rsidRPr="003272B0">
        <w:rPr>
          <w:rStyle w:val="FootnoteReference"/>
          <w:color w:val="000000" w:themeColor="text1"/>
          <w:sz w:val="22"/>
          <w:szCs w:val="22"/>
        </w:rPr>
        <w:footnoteReference w:id="41"/>
      </w:r>
      <w:r w:rsidR="008058BC" w:rsidRPr="003272B0">
        <w:rPr>
          <w:color w:val="000000" w:themeColor="text1"/>
          <w:sz w:val="22"/>
          <w:szCs w:val="22"/>
        </w:rPr>
        <w:t xml:space="preserve">. </w:t>
      </w:r>
    </w:p>
    <w:p w14:paraId="58AFA570" w14:textId="457F3BBF" w:rsidR="005B78E8" w:rsidRPr="003272B0" w:rsidRDefault="00CE0B74" w:rsidP="002E1843">
      <w:pPr>
        <w:spacing w:line="480" w:lineRule="auto"/>
        <w:ind w:firstLine="720"/>
        <w:rPr>
          <w:color w:val="000000" w:themeColor="text1"/>
          <w:sz w:val="22"/>
          <w:szCs w:val="22"/>
        </w:rPr>
      </w:pPr>
      <w:r w:rsidRPr="003272B0">
        <w:rPr>
          <w:color w:val="000000" w:themeColor="text1"/>
          <w:sz w:val="22"/>
          <w:szCs w:val="22"/>
        </w:rPr>
        <w:lastRenderedPageBreak/>
        <w:t>The International Labour Org</w:t>
      </w:r>
      <w:r w:rsidR="00D2010A" w:rsidRPr="003272B0">
        <w:rPr>
          <w:color w:val="000000" w:themeColor="text1"/>
          <w:sz w:val="22"/>
          <w:szCs w:val="22"/>
        </w:rPr>
        <w:t>a</w:t>
      </w:r>
      <w:r w:rsidRPr="003272B0">
        <w:rPr>
          <w:color w:val="000000" w:themeColor="text1"/>
          <w:sz w:val="22"/>
          <w:szCs w:val="22"/>
        </w:rPr>
        <w:t xml:space="preserve">nisation have </w:t>
      </w:r>
      <w:r w:rsidR="00937D6F" w:rsidRPr="003272B0">
        <w:rPr>
          <w:color w:val="000000" w:themeColor="text1"/>
          <w:sz w:val="22"/>
          <w:szCs w:val="22"/>
        </w:rPr>
        <w:t>consolidated minimum labour standards for international maritime workers</w:t>
      </w:r>
      <w:r w:rsidR="00A66D47" w:rsidRPr="003272B0">
        <w:rPr>
          <w:color w:val="000000" w:themeColor="text1"/>
          <w:sz w:val="22"/>
          <w:szCs w:val="22"/>
        </w:rPr>
        <w:t xml:space="preserve">, and the Maritime Labour Convention, 2006 applicable to global seafarers is the major legal source to protect occupational health and safety rights at sea. </w:t>
      </w:r>
      <w:r w:rsidR="007F024F" w:rsidRPr="003272B0">
        <w:rPr>
          <w:color w:val="000000" w:themeColor="text1"/>
          <w:sz w:val="22"/>
          <w:szCs w:val="22"/>
        </w:rPr>
        <w:t xml:space="preserve">In Regulation 4.3 – Health and safety protection and accident prevention, </w:t>
      </w:r>
      <w:r w:rsidR="00AF2763" w:rsidRPr="003272B0">
        <w:rPr>
          <w:color w:val="000000" w:themeColor="text1"/>
          <w:sz w:val="22"/>
          <w:szCs w:val="22"/>
        </w:rPr>
        <w:t xml:space="preserve">going beyond the </w:t>
      </w:r>
      <w:r w:rsidR="00A9686C" w:rsidRPr="003272B0">
        <w:rPr>
          <w:color w:val="000000" w:themeColor="text1"/>
          <w:sz w:val="22"/>
          <w:szCs w:val="22"/>
        </w:rPr>
        <w:t>risk assessment and management, required by the Chapter IX of the SOLAS Convention, International Safety Management Code</w:t>
      </w:r>
      <w:r w:rsidR="001D31F7" w:rsidRPr="003272B0">
        <w:rPr>
          <w:color w:val="000000" w:themeColor="text1"/>
          <w:sz w:val="22"/>
          <w:szCs w:val="22"/>
        </w:rPr>
        <w:t xml:space="preserve">, </w:t>
      </w:r>
      <w:r w:rsidR="0087527E" w:rsidRPr="003272B0">
        <w:rPr>
          <w:color w:val="000000" w:themeColor="text1"/>
          <w:sz w:val="22"/>
          <w:szCs w:val="22"/>
        </w:rPr>
        <w:t xml:space="preserve">workers’ right to participate, specially refers to the appointment of safety representatives and </w:t>
      </w:r>
      <w:r w:rsidR="00B077C7" w:rsidRPr="003272B0">
        <w:rPr>
          <w:color w:val="000000" w:themeColor="text1"/>
          <w:sz w:val="22"/>
          <w:szCs w:val="22"/>
        </w:rPr>
        <w:t>requires that ships with five or more seafarers on board have safety committee meeting established</w:t>
      </w:r>
      <w:r w:rsidR="005B78E8" w:rsidRPr="003272B0">
        <w:rPr>
          <w:color w:val="000000" w:themeColor="text1"/>
          <w:sz w:val="22"/>
          <w:szCs w:val="22"/>
        </w:rPr>
        <w:t>.</w:t>
      </w:r>
      <w:r w:rsidR="009536A5" w:rsidRPr="003272B0">
        <w:rPr>
          <w:rStyle w:val="FootnoteReference"/>
          <w:color w:val="000000" w:themeColor="text1"/>
          <w:sz w:val="22"/>
          <w:szCs w:val="22"/>
        </w:rPr>
        <w:footnoteReference w:id="42"/>
      </w:r>
    </w:p>
    <w:p w14:paraId="4D23FBBF" w14:textId="0D0767DB" w:rsidR="00CE0B74" w:rsidRPr="003272B0" w:rsidRDefault="005B78E8" w:rsidP="002E1843">
      <w:pPr>
        <w:spacing w:line="480" w:lineRule="auto"/>
        <w:ind w:firstLine="720"/>
        <w:rPr>
          <w:color w:val="000000" w:themeColor="text1"/>
          <w:sz w:val="22"/>
          <w:szCs w:val="22"/>
        </w:rPr>
      </w:pPr>
      <w:r w:rsidRPr="003272B0">
        <w:rPr>
          <w:color w:val="000000" w:themeColor="text1"/>
          <w:sz w:val="22"/>
          <w:szCs w:val="22"/>
        </w:rPr>
        <w:t xml:space="preserve">In another marine sector, fishing industry, the development of occupational health and safety law </w:t>
      </w:r>
      <w:r w:rsidR="00FE0F0A" w:rsidRPr="003272B0">
        <w:rPr>
          <w:color w:val="000000" w:themeColor="text1"/>
          <w:sz w:val="22"/>
          <w:szCs w:val="22"/>
        </w:rPr>
        <w:t>is falling behind the shipping industry, although a series of legal instruments have also been</w:t>
      </w:r>
      <w:r w:rsidR="00165146" w:rsidRPr="003272B0">
        <w:rPr>
          <w:color w:val="000000" w:themeColor="text1"/>
          <w:sz w:val="22"/>
          <w:szCs w:val="22"/>
        </w:rPr>
        <w:t xml:space="preserve"> adopted</w:t>
      </w:r>
      <w:r w:rsidR="00F41FE6" w:rsidRPr="003272B0">
        <w:rPr>
          <w:color w:val="000000" w:themeColor="text1"/>
          <w:sz w:val="22"/>
          <w:szCs w:val="22"/>
        </w:rPr>
        <w:t xml:space="preserve">, including the </w:t>
      </w:r>
      <w:r w:rsidR="00D5065A" w:rsidRPr="003272B0">
        <w:rPr>
          <w:color w:val="000000" w:themeColor="text1"/>
          <w:sz w:val="22"/>
          <w:szCs w:val="22"/>
        </w:rPr>
        <w:t xml:space="preserve">IMO conventions: </w:t>
      </w:r>
      <w:r w:rsidR="00F41FE6" w:rsidRPr="003272B0">
        <w:rPr>
          <w:color w:val="000000" w:themeColor="text1"/>
          <w:sz w:val="22"/>
          <w:szCs w:val="22"/>
        </w:rPr>
        <w:t xml:space="preserve">Torremolinos International Convention for the Safety of fishing </w:t>
      </w:r>
      <w:r w:rsidR="000A13FB" w:rsidRPr="003272B0">
        <w:rPr>
          <w:color w:val="000000" w:themeColor="text1"/>
          <w:sz w:val="22"/>
          <w:szCs w:val="22"/>
        </w:rPr>
        <w:t>V</w:t>
      </w:r>
      <w:r w:rsidR="00F41FE6" w:rsidRPr="003272B0">
        <w:rPr>
          <w:color w:val="000000" w:themeColor="text1"/>
          <w:sz w:val="22"/>
          <w:szCs w:val="22"/>
        </w:rPr>
        <w:t>essel</w:t>
      </w:r>
      <w:r w:rsidR="000A13FB" w:rsidRPr="003272B0">
        <w:rPr>
          <w:color w:val="000000" w:themeColor="text1"/>
          <w:sz w:val="22"/>
          <w:szCs w:val="22"/>
        </w:rPr>
        <w:t>, 1977</w:t>
      </w:r>
      <w:r w:rsidR="00F41FE6" w:rsidRPr="003272B0">
        <w:rPr>
          <w:color w:val="000000" w:themeColor="text1"/>
          <w:sz w:val="22"/>
          <w:szCs w:val="22"/>
        </w:rPr>
        <w:t xml:space="preserve"> and </w:t>
      </w:r>
      <w:r w:rsidR="000A13FB" w:rsidRPr="003272B0">
        <w:rPr>
          <w:color w:val="000000" w:themeColor="text1"/>
          <w:sz w:val="22"/>
          <w:szCs w:val="22"/>
        </w:rPr>
        <w:t xml:space="preserve">the </w:t>
      </w:r>
      <w:r w:rsidR="00F41FE6" w:rsidRPr="003272B0">
        <w:rPr>
          <w:color w:val="000000" w:themeColor="text1"/>
          <w:sz w:val="22"/>
          <w:szCs w:val="22"/>
        </w:rPr>
        <w:t>Cape</w:t>
      </w:r>
      <w:r w:rsidR="000A13FB" w:rsidRPr="003272B0">
        <w:rPr>
          <w:color w:val="000000" w:themeColor="text1"/>
          <w:sz w:val="22"/>
          <w:szCs w:val="22"/>
        </w:rPr>
        <w:t xml:space="preserve"> Town Agreement of 2012, </w:t>
      </w:r>
      <w:r w:rsidR="00165146" w:rsidRPr="003272B0">
        <w:rPr>
          <w:color w:val="000000" w:themeColor="text1"/>
          <w:sz w:val="22"/>
          <w:szCs w:val="22"/>
        </w:rPr>
        <w:t>International Convention on Standards of Training, Certification and Watchkeeping for Fishing Vessel Personnel (STCW-F), 1</w:t>
      </w:r>
      <w:r w:rsidR="00D5065A" w:rsidRPr="003272B0">
        <w:rPr>
          <w:color w:val="000000" w:themeColor="text1"/>
          <w:sz w:val="22"/>
          <w:szCs w:val="22"/>
        </w:rPr>
        <w:t>995; and the</w:t>
      </w:r>
      <w:r w:rsidR="00967248" w:rsidRPr="003272B0">
        <w:rPr>
          <w:color w:val="000000" w:themeColor="text1"/>
          <w:sz w:val="22"/>
          <w:szCs w:val="22"/>
        </w:rPr>
        <w:t xml:space="preserve"> Work in Fishing Convention, 2007 (No. 188) of the International Convention. </w:t>
      </w:r>
      <w:r w:rsidR="00621C64" w:rsidRPr="003272B0">
        <w:rPr>
          <w:color w:val="000000" w:themeColor="text1"/>
          <w:sz w:val="22"/>
          <w:szCs w:val="22"/>
        </w:rPr>
        <w:t>However, except the STCW-F convention</w:t>
      </w:r>
      <w:r w:rsidR="00985E94" w:rsidRPr="003272B0">
        <w:rPr>
          <w:color w:val="000000" w:themeColor="text1"/>
          <w:sz w:val="22"/>
          <w:szCs w:val="22"/>
        </w:rPr>
        <w:t xml:space="preserve"> and the Work in Fishing Convention, 2007</w:t>
      </w:r>
      <w:r w:rsidR="00621C64" w:rsidRPr="003272B0">
        <w:rPr>
          <w:color w:val="000000" w:themeColor="text1"/>
          <w:sz w:val="22"/>
          <w:szCs w:val="22"/>
        </w:rPr>
        <w:t xml:space="preserve">, the </w:t>
      </w:r>
      <w:r w:rsidR="00985E94" w:rsidRPr="003272B0">
        <w:rPr>
          <w:color w:val="000000" w:themeColor="text1"/>
          <w:sz w:val="22"/>
          <w:szCs w:val="22"/>
        </w:rPr>
        <w:t xml:space="preserve">Torremolinos Convention </w:t>
      </w:r>
      <w:r w:rsidR="00621C64" w:rsidRPr="003272B0">
        <w:rPr>
          <w:color w:val="000000" w:themeColor="text1"/>
          <w:sz w:val="22"/>
          <w:szCs w:val="22"/>
        </w:rPr>
        <w:t>h</w:t>
      </w:r>
      <w:r w:rsidR="00985E94" w:rsidRPr="003272B0">
        <w:rPr>
          <w:color w:val="000000" w:themeColor="text1"/>
          <w:sz w:val="22"/>
          <w:szCs w:val="22"/>
        </w:rPr>
        <w:t>as</w:t>
      </w:r>
      <w:r w:rsidR="00621C64" w:rsidRPr="003272B0">
        <w:rPr>
          <w:color w:val="000000" w:themeColor="text1"/>
          <w:sz w:val="22"/>
          <w:szCs w:val="22"/>
        </w:rPr>
        <w:t xml:space="preserve"> not come </w:t>
      </w:r>
      <w:r w:rsidR="00985E94" w:rsidRPr="003272B0">
        <w:rPr>
          <w:color w:val="000000" w:themeColor="text1"/>
          <w:sz w:val="22"/>
          <w:szCs w:val="22"/>
        </w:rPr>
        <w:t xml:space="preserve">into force </w:t>
      </w:r>
      <w:r w:rsidR="00621C64" w:rsidRPr="003272B0">
        <w:rPr>
          <w:color w:val="000000" w:themeColor="text1"/>
          <w:sz w:val="22"/>
          <w:szCs w:val="22"/>
        </w:rPr>
        <w:t xml:space="preserve">so far. </w:t>
      </w:r>
    </w:p>
    <w:p w14:paraId="522CDD56" w14:textId="48CA7EE1" w:rsidR="00D94348" w:rsidRPr="003272B0" w:rsidRDefault="00542CCD" w:rsidP="00D50C13">
      <w:pPr>
        <w:spacing w:line="480" w:lineRule="auto"/>
        <w:ind w:firstLine="720"/>
        <w:rPr>
          <w:color w:val="000000" w:themeColor="text1"/>
          <w:sz w:val="22"/>
          <w:szCs w:val="22"/>
        </w:rPr>
      </w:pPr>
      <w:r w:rsidRPr="003272B0">
        <w:rPr>
          <w:color w:val="000000" w:themeColor="text1"/>
          <w:sz w:val="22"/>
          <w:szCs w:val="22"/>
        </w:rPr>
        <w:t xml:space="preserve">Unlike the development of domestic occupational health and safety law, which has a historical stage of command and control mode with inspectors </w:t>
      </w:r>
      <w:r w:rsidR="00CD0C47" w:rsidRPr="003272B0">
        <w:rPr>
          <w:color w:val="000000" w:themeColor="text1"/>
          <w:sz w:val="22"/>
          <w:szCs w:val="22"/>
        </w:rPr>
        <w:t xml:space="preserve">authorized significant legal power, the enforcement of international law </w:t>
      </w:r>
      <w:r w:rsidR="00D2182E" w:rsidRPr="003272B0">
        <w:rPr>
          <w:color w:val="000000" w:themeColor="text1"/>
          <w:sz w:val="22"/>
          <w:szCs w:val="22"/>
        </w:rPr>
        <w:t xml:space="preserve">usually relied on the cooperation of sovereign states and international organisation cannot have enforcement legal power </w:t>
      </w:r>
      <w:r w:rsidR="00B01FDD" w:rsidRPr="003272B0">
        <w:rPr>
          <w:color w:val="000000" w:themeColor="text1"/>
          <w:sz w:val="22"/>
          <w:szCs w:val="22"/>
        </w:rPr>
        <w:t>beyond sovereign states. Therefore, the international maritime occupational health and safety legal instruments adopts a goal-based regulatory mode</w:t>
      </w:r>
      <w:r w:rsidR="00E33C1D" w:rsidRPr="003272B0">
        <w:rPr>
          <w:color w:val="000000" w:themeColor="text1"/>
          <w:sz w:val="22"/>
          <w:szCs w:val="22"/>
        </w:rPr>
        <w:t xml:space="preserve"> </w:t>
      </w:r>
      <w:r w:rsidR="008E346A" w:rsidRPr="003272B0">
        <w:rPr>
          <w:color w:val="000000" w:themeColor="text1"/>
          <w:sz w:val="22"/>
          <w:szCs w:val="22"/>
        </w:rPr>
        <w:lastRenderedPageBreak/>
        <w:t xml:space="preserve">or regulated self-regulation, </w:t>
      </w:r>
      <w:r w:rsidR="00E33C1D" w:rsidRPr="003272B0">
        <w:rPr>
          <w:color w:val="000000" w:themeColor="text1"/>
          <w:sz w:val="22"/>
          <w:szCs w:val="22"/>
        </w:rPr>
        <w:t xml:space="preserve">rather than the command and control mode. </w:t>
      </w:r>
      <w:r w:rsidR="002370A9" w:rsidRPr="003272B0">
        <w:rPr>
          <w:rFonts w:hint="eastAsia"/>
          <w:color w:val="000000" w:themeColor="text1"/>
          <w:sz w:val="22"/>
          <w:szCs w:val="22"/>
        </w:rPr>
        <w:t>At</w:t>
      </w:r>
      <w:r w:rsidR="002370A9" w:rsidRPr="003272B0">
        <w:rPr>
          <w:color w:val="000000" w:themeColor="text1"/>
          <w:sz w:val="22"/>
          <w:szCs w:val="22"/>
        </w:rPr>
        <w:t xml:space="preserve"> the current stage, both of the </w:t>
      </w:r>
      <w:r w:rsidR="0012441F" w:rsidRPr="003272B0">
        <w:rPr>
          <w:color w:val="000000" w:themeColor="text1"/>
          <w:sz w:val="22"/>
          <w:szCs w:val="22"/>
        </w:rPr>
        <w:t xml:space="preserve">domestic occupational health and safety law and international maritime legal instruments related to workplace health and safety are coming to a stage </w:t>
      </w:r>
      <w:r w:rsidR="007B02CB" w:rsidRPr="003272B0">
        <w:rPr>
          <w:color w:val="000000" w:themeColor="text1"/>
          <w:sz w:val="22"/>
          <w:szCs w:val="22"/>
        </w:rPr>
        <w:t>of regulated self-regulation</w:t>
      </w:r>
      <w:r w:rsidR="00D944B0" w:rsidRPr="003272B0">
        <w:rPr>
          <w:color w:val="000000" w:themeColor="text1"/>
          <w:sz w:val="22"/>
          <w:szCs w:val="22"/>
        </w:rPr>
        <w:t xml:space="preserve">. Although this mode is argued to be more efficient and effective to promote health and safety in the workplace, </w:t>
      </w:r>
      <w:r w:rsidR="00551C44" w:rsidRPr="003272B0">
        <w:rPr>
          <w:color w:val="000000" w:themeColor="text1"/>
          <w:sz w:val="22"/>
          <w:szCs w:val="22"/>
        </w:rPr>
        <w:t xml:space="preserve">the lack of power of balance between employers and workers, in particular in the </w:t>
      </w:r>
      <w:r w:rsidR="00FE6C3F" w:rsidRPr="003272B0">
        <w:rPr>
          <w:color w:val="000000" w:themeColor="text1"/>
          <w:sz w:val="22"/>
          <w:szCs w:val="22"/>
        </w:rPr>
        <w:t xml:space="preserve">context </w:t>
      </w:r>
      <w:r w:rsidR="00F475FE" w:rsidRPr="003272B0">
        <w:rPr>
          <w:color w:val="000000" w:themeColor="text1"/>
          <w:sz w:val="22"/>
          <w:szCs w:val="22"/>
        </w:rPr>
        <w:t>of precarious employment increase and union density drops</w:t>
      </w:r>
      <w:r w:rsidR="001152A5" w:rsidRPr="003272B0">
        <w:rPr>
          <w:color w:val="000000" w:themeColor="text1"/>
          <w:sz w:val="22"/>
          <w:szCs w:val="22"/>
        </w:rPr>
        <w:t>.</w:t>
      </w:r>
      <w:r w:rsidR="00F475FE" w:rsidRPr="003272B0">
        <w:rPr>
          <w:rStyle w:val="FootnoteReference"/>
          <w:color w:val="000000" w:themeColor="text1"/>
          <w:sz w:val="22"/>
          <w:szCs w:val="22"/>
        </w:rPr>
        <w:footnoteReference w:id="43"/>
      </w:r>
    </w:p>
    <w:p w14:paraId="1B458C86" w14:textId="4E183578" w:rsidR="00F475FE" w:rsidRPr="003272B0" w:rsidRDefault="00E848AB" w:rsidP="002E1843">
      <w:pPr>
        <w:spacing w:line="480" w:lineRule="auto"/>
        <w:rPr>
          <w:color w:val="000000" w:themeColor="text1"/>
          <w:sz w:val="22"/>
          <w:szCs w:val="22"/>
        </w:rPr>
      </w:pPr>
      <w:r w:rsidRPr="003272B0">
        <w:rPr>
          <w:b/>
          <w:color w:val="000000" w:themeColor="text1"/>
          <w:sz w:val="22"/>
          <w:szCs w:val="22"/>
        </w:rPr>
        <w:t xml:space="preserve">Marine Health and Safety Law in the </w:t>
      </w:r>
      <w:r w:rsidR="004D57A0" w:rsidRPr="003272B0">
        <w:rPr>
          <w:b/>
          <w:color w:val="000000" w:themeColor="text1"/>
          <w:sz w:val="22"/>
          <w:szCs w:val="22"/>
        </w:rPr>
        <w:t>Canadian O</w:t>
      </w:r>
      <w:r w:rsidR="00D50C13" w:rsidRPr="003272B0">
        <w:rPr>
          <w:b/>
          <w:color w:val="000000" w:themeColor="text1"/>
          <w:sz w:val="22"/>
          <w:szCs w:val="22"/>
        </w:rPr>
        <w:t xml:space="preserve">ccupational </w:t>
      </w:r>
      <w:r w:rsidR="004D57A0" w:rsidRPr="003272B0">
        <w:rPr>
          <w:b/>
          <w:color w:val="000000" w:themeColor="text1"/>
          <w:sz w:val="22"/>
          <w:szCs w:val="22"/>
        </w:rPr>
        <w:t>H</w:t>
      </w:r>
      <w:r w:rsidR="00D50C13" w:rsidRPr="003272B0">
        <w:rPr>
          <w:b/>
          <w:color w:val="000000" w:themeColor="text1"/>
          <w:sz w:val="22"/>
          <w:szCs w:val="22"/>
        </w:rPr>
        <w:t xml:space="preserve">ealth and </w:t>
      </w:r>
      <w:r w:rsidR="004D57A0" w:rsidRPr="003272B0">
        <w:rPr>
          <w:b/>
          <w:color w:val="000000" w:themeColor="text1"/>
          <w:sz w:val="22"/>
          <w:szCs w:val="22"/>
        </w:rPr>
        <w:t>S</w:t>
      </w:r>
      <w:r w:rsidR="00D50C13" w:rsidRPr="003272B0">
        <w:rPr>
          <w:b/>
          <w:color w:val="000000" w:themeColor="text1"/>
          <w:sz w:val="22"/>
          <w:szCs w:val="22"/>
        </w:rPr>
        <w:t>afety</w:t>
      </w:r>
      <w:r w:rsidRPr="003272B0">
        <w:rPr>
          <w:b/>
          <w:color w:val="000000" w:themeColor="text1"/>
          <w:sz w:val="22"/>
          <w:szCs w:val="22"/>
        </w:rPr>
        <w:t xml:space="preserve"> Regulatory System</w:t>
      </w:r>
    </w:p>
    <w:p w14:paraId="2F6F26FF" w14:textId="6678B8AA" w:rsidR="00674F94" w:rsidRPr="003272B0" w:rsidRDefault="00322B6F" w:rsidP="002E1843">
      <w:pPr>
        <w:spacing w:line="480" w:lineRule="auto"/>
        <w:rPr>
          <w:color w:val="000000" w:themeColor="text1"/>
          <w:sz w:val="22"/>
          <w:szCs w:val="22"/>
        </w:rPr>
      </w:pPr>
      <w:r w:rsidRPr="003272B0">
        <w:rPr>
          <w:color w:val="000000" w:themeColor="text1"/>
          <w:sz w:val="22"/>
          <w:szCs w:val="22"/>
        </w:rPr>
        <w:t>Under the Canadian Constitution, employment and labour legislation, including occupational health and safety law, is primarily a provincial responsibility under s. 92(13)</w:t>
      </w:r>
      <w:r w:rsidR="00FB4F82" w:rsidRPr="003272B0">
        <w:rPr>
          <w:color w:val="000000" w:themeColor="text1"/>
          <w:sz w:val="22"/>
          <w:szCs w:val="22"/>
        </w:rPr>
        <w:t>.</w:t>
      </w:r>
      <w:r w:rsidRPr="003272B0">
        <w:rPr>
          <w:rStyle w:val="FootnoteReference"/>
          <w:color w:val="000000" w:themeColor="text1"/>
          <w:sz w:val="22"/>
          <w:szCs w:val="22"/>
        </w:rPr>
        <w:footnoteReference w:id="44"/>
      </w:r>
      <w:r w:rsidR="00FB4F82" w:rsidRPr="003272B0">
        <w:rPr>
          <w:color w:val="000000" w:themeColor="text1"/>
          <w:sz w:val="22"/>
          <w:szCs w:val="22"/>
        </w:rPr>
        <w:t xml:space="preserve"> The management of undertakings, working conditions and labour relations are at the core of OHS law</w:t>
      </w:r>
      <w:r w:rsidR="00701EC0" w:rsidRPr="003272B0">
        <w:rPr>
          <w:color w:val="000000" w:themeColor="text1"/>
          <w:sz w:val="22"/>
          <w:szCs w:val="22"/>
        </w:rPr>
        <w:t>.</w:t>
      </w:r>
      <w:r w:rsidR="00701EC0" w:rsidRPr="003272B0">
        <w:rPr>
          <w:rStyle w:val="FootnoteReference"/>
          <w:color w:val="000000" w:themeColor="text1"/>
          <w:sz w:val="22"/>
          <w:szCs w:val="22"/>
        </w:rPr>
        <w:footnoteReference w:id="45"/>
      </w:r>
      <w:r w:rsidR="00701EC0" w:rsidRPr="003272B0">
        <w:rPr>
          <w:color w:val="000000" w:themeColor="text1"/>
          <w:sz w:val="22"/>
          <w:szCs w:val="22"/>
        </w:rPr>
        <w:t xml:space="preserve"> These matters are included under s. 92(13) of the Constitution Act, 1867. </w:t>
      </w:r>
      <w:r w:rsidR="003346C1" w:rsidRPr="003272B0">
        <w:rPr>
          <w:color w:val="000000" w:themeColor="text1"/>
          <w:sz w:val="22"/>
          <w:szCs w:val="22"/>
        </w:rPr>
        <w:t xml:space="preserve">Thus, provincial OHS law is presumptively under provincial jurisdiction provided that the provincial OHS </w:t>
      </w:r>
      <w:r w:rsidR="00274805" w:rsidRPr="003272B0">
        <w:rPr>
          <w:color w:val="000000" w:themeColor="text1"/>
          <w:sz w:val="22"/>
          <w:szCs w:val="22"/>
        </w:rPr>
        <w:t xml:space="preserve">law is focused on those three matters. </w:t>
      </w:r>
      <w:r w:rsidR="00E923D7" w:rsidRPr="003272B0">
        <w:rPr>
          <w:color w:val="000000" w:themeColor="text1"/>
          <w:sz w:val="22"/>
          <w:szCs w:val="22"/>
        </w:rPr>
        <w:t xml:space="preserve">The federal government has jurisdiction to regulate labour relations in two circumstances: when the employment relates to a work, undertaking or business within the legislative authority of Parliament </w:t>
      </w:r>
      <w:r w:rsidR="00C7281C" w:rsidRPr="003272B0">
        <w:rPr>
          <w:color w:val="000000" w:themeColor="text1"/>
          <w:sz w:val="22"/>
          <w:szCs w:val="22"/>
        </w:rPr>
        <w:t>under s. 91 of the Constitution Act, 1867</w:t>
      </w:r>
      <w:r w:rsidR="00C4778B" w:rsidRPr="003272B0">
        <w:rPr>
          <w:color w:val="000000" w:themeColor="text1"/>
          <w:sz w:val="22"/>
          <w:szCs w:val="22"/>
        </w:rPr>
        <w:t xml:space="preserve">; or when it is an integral part of a federally regulated undertaking, sometime </w:t>
      </w:r>
      <w:r w:rsidR="00386533" w:rsidRPr="003272B0">
        <w:rPr>
          <w:color w:val="000000" w:themeColor="text1"/>
          <w:sz w:val="22"/>
          <w:szCs w:val="22"/>
        </w:rPr>
        <w:t xml:space="preserve">referred to as </w:t>
      </w:r>
      <w:r w:rsidR="00BE5A4F" w:rsidRPr="003272B0">
        <w:rPr>
          <w:color w:val="000000" w:themeColor="text1"/>
          <w:sz w:val="22"/>
          <w:szCs w:val="22"/>
        </w:rPr>
        <w:t xml:space="preserve">derivative jurisdiction. The federal government administers general labour affairs, </w:t>
      </w:r>
      <w:r w:rsidR="00BE5A4F" w:rsidRPr="003272B0">
        <w:rPr>
          <w:color w:val="000000" w:themeColor="text1"/>
          <w:sz w:val="22"/>
          <w:szCs w:val="22"/>
        </w:rPr>
        <w:lastRenderedPageBreak/>
        <w:t>including OHS issues</w:t>
      </w:r>
      <w:r w:rsidR="00E2575D" w:rsidRPr="003272B0">
        <w:rPr>
          <w:color w:val="000000" w:themeColor="text1"/>
          <w:sz w:val="22"/>
          <w:szCs w:val="22"/>
        </w:rPr>
        <w:t>, only for the following undertakings that have an extra-provincial or international character:</w:t>
      </w:r>
      <w:r w:rsidR="004C1FC9" w:rsidRPr="003272B0">
        <w:rPr>
          <w:color w:val="000000" w:themeColor="text1"/>
          <w:sz w:val="22"/>
          <w:szCs w:val="22"/>
        </w:rPr>
        <w:t xml:space="preserve"> ferries, tunnels, bridges, and canals; shipping and shipping related services; mar</w:t>
      </w:r>
      <w:r w:rsidR="008C3E12" w:rsidRPr="003272B0">
        <w:rPr>
          <w:color w:val="000000" w:themeColor="text1"/>
          <w:sz w:val="22"/>
          <w:szCs w:val="22"/>
        </w:rPr>
        <w:t>i</w:t>
      </w:r>
      <w:r w:rsidR="004C1FC9" w:rsidRPr="003272B0">
        <w:rPr>
          <w:color w:val="000000" w:themeColor="text1"/>
          <w:sz w:val="22"/>
          <w:szCs w:val="22"/>
        </w:rPr>
        <w:t>ne transport</w:t>
      </w:r>
      <w:r w:rsidR="008C3E12" w:rsidRPr="003272B0">
        <w:rPr>
          <w:color w:val="000000" w:themeColor="text1"/>
          <w:sz w:val="22"/>
          <w:szCs w:val="22"/>
        </w:rPr>
        <w:t>.</w:t>
      </w:r>
      <w:r w:rsidR="00F52830" w:rsidRPr="003272B0">
        <w:rPr>
          <w:color w:val="000000" w:themeColor="text1"/>
          <w:sz w:val="22"/>
          <w:szCs w:val="22"/>
        </w:rPr>
        <w:t xml:space="preserve"> </w:t>
      </w:r>
      <w:r w:rsidR="00336592" w:rsidRPr="003272B0">
        <w:rPr>
          <w:color w:val="000000" w:themeColor="text1"/>
          <w:sz w:val="22"/>
          <w:szCs w:val="22"/>
        </w:rPr>
        <w:t>The Parliament of Canada has granted the territorial governments the same power as the provinces to legislate on employment and labour matters that do not fall under federal jurisdiction.</w:t>
      </w:r>
      <w:r w:rsidR="00674F94" w:rsidRPr="003272B0">
        <w:rPr>
          <w:color w:val="000000" w:themeColor="text1"/>
          <w:sz w:val="22"/>
          <w:szCs w:val="22"/>
        </w:rPr>
        <w:t xml:space="preserve"> </w:t>
      </w:r>
    </w:p>
    <w:p w14:paraId="1FD44E1B" w14:textId="2EC521F3" w:rsidR="00674F94" w:rsidRPr="003272B0" w:rsidRDefault="00674F94" w:rsidP="002E1843">
      <w:pPr>
        <w:spacing w:line="480" w:lineRule="auto"/>
        <w:rPr>
          <w:color w:val="000000" w:themeColor="text1"/>
          <w:sz w:val="22"/>
          <w:szCs w:val="22"/>
        </w:rPr>
      </w:pPr>
    </w:p>
    <w:p w14:paraId="00C2E0DC" w14:textId="77777777" w:rsidR="002C2BF1" w:rsidRPr="003272B0" w:rsidRDefault="0048516B" w:rsidP="002E1843">
      <w:pPr>
        <w:spacing w:line="480" w:lineRule="auto"/>
        <w:rPr>
          <w:color w:val="000000" w:themeColor="text1"/>
          <w:sz w:val="22"/>
          <w:szCs w:val="22"/>
        </w:rPr>
      </w:pPr>
      <w:r w:rsidRPr="003272B0">
        <w:rPr>
          <w:rFonts w:hint="eastAsia"/>
          <w:color w:val="000000" w:themeColor="text1"/>
          <w:sz w:val="22"/>
          <w:szCs w:val="22"/>
        </w:rPr>
        <w:t>However</w:t>
      </w:r>
      <w:r w:rsidRPr="003272B0">
        <w:rPr>
          <w:color w:val="000000" w:themeColor="text1"/>
          <w:sz w:val="22"/>
          <w:szCs w:val="22"/>
        </w:rPr>
        <w:t xml:space="preserve">, due to the occupational hazards in the marine sector, </w:t>
      </w:r>
      <w:r w:rsidR="00EE53AC" w:rsidRPr="003272B0">
        <w:rPr>
          <w:color w:val="000000" w:themeColor="text1"/>
          <w:sz w:val="22"/>
          <w:szCs w:val="22"/>
        </w:rPr>
        <w:t xml:space="preserve">as above mentioned, </w:t>
      </w:r>
      <w:r w:rsidR="004D0794" w:rsidRPr="003272B0">
        <w:rPr>
          <w:color w:val="000000" w:themeColor="text1"/>
          <w:sz w:val="22"/>
          <w:szCs w:val="22"/>
        </w:rPr>
        <w:t>are</w:t>
      </w:r>
      <w:r w:rsidR="00EE53AC" w:rsidRPr="003272B0">
        <w:rPr>
          <w:color w:val="000000" w:themeColor="text1"/>
          <w:sz w:val="22"/>
          <w:szCs w:val="22"/>
        </w:rPr>
        <w:t xml:space="preserve"> related to</w:t>
      </w:r>
      <w:r w:rsidR="009A56E1" w:rsidRPr="003272B0">
        <w:rPr>
          <w:color w:val="000000" w:themeColor="text1"/>
          <w:sz w:val="22"/>
          <w:szCs w:val="22"/>
        </w:rPr>
        <w:t xml:space="preserve"> the vessel, to the labour process on board, to the living environment on board</w:t>
      </w:r>
      <w:r w:rsidR="004D0794" w:rsidRPr="003272B0">
        <w:rPr>
          <w:color w:val="000000" w:themeColor="text1"/>
          <w:sz w:val="22"/>
          <w:szCs w:val="22"/>
        </w:rPr>
        <w:t>. These technical standards of ships are covered by the federal Canada Shipping Act, 2001</w:t>
      </w:r>
      <w:r w:rsidR="00760642" w:rsidRPr="003272B0">
        <w:rPr>
          <w:color w:val="000000" w:themeColor="text1"/>
          <w:sz w:val="22"/>
          <w:szCs w:val="22"/>
        </w:rPr>
        <w:t xml:space="preserve">. Maritime workers, seafarers and fishing workers are subject to different jurisdictions. </w:t>
      </w:r>
    </w:p>
    <w:p w14:paraId="5A8E18B1" w14:textId="77777777" w:rsidR="002C2BF1" w:rsidRPr="003272B0" w:rsidRDefault="002C2BF1" w:rsidP="002E1843">
      <w:pPr>
        <w:spacing w:line="480" w:lineRule="auto"/>
        <w:rPr>
          <w:color w:val="000000" w:themeColor="text1"/>
          <w:sz w:val="22"/>
          <w:szCs w:val="22"/>
        </w:rPr>
      </w:pPr>
    </w:p>
    <w:p w14:paraId="5C676F3B" w14:textId="691F2DC7" w:rsidR="00C508BA" w:rsidRPr="003272B0" w:rsidRDefault="00760642" w:rsidP="002E1843">
      <w:pPr>
        <w:spacing w:line="480" w:lineRule="auto"/>
        <w:rPr>
          <w:color w:val="000000" w:themeColor="text1"/>
          <w:sz w:val="22"/>
          <w:szCs w:val="22"/>
        </w:rPr>
      </w:pPr>
      <w:r w:rsidRPr="003272B0">
        <w:rPr>
          <w:color w:val="000000" w:themeColor="text1"/>
          <w:sz w:val="22"/>
          <w:szCs w:val="22"/>
        </w:rPr>
        <w:t xml:space="preserve">Seafarers’ occupational health and safety rights are subject to federal jurisdiction, and regulated according to the Canada Labour Code, Part II and Maritime Occupational Health and Safety Regulations. In addition, in the Canada Shipping Act, </w:t>
      </w:r>
      <w:r w:rsidR="008A783E" w:rsidRPr="003272B0">
        <w:rPr>
          <w:color w:val="000000" w:themeColor="text1"/>
          <w:sz w:val="22"/>
          <w:szCs w:val="22"/>
        </w:rPr>
        <w:t xml:space="preserve">2001 and its Marine Personnel Regulations, </w:t>
      </w:r>
      <w:r w:rsidR="009E1CE2" w:rsidRPr="003272B0">
        <w:rPr>
          <w:color w:val="000000" w:themeColor="text1"/>
          <w:sz w:val="22"/>
          <w:szCs w:val="22"/>
        </w:rPr>
        <w:t xml:space="preserve">incorporate certain amounts </w:t>
      </w:r>
      <w:r w:rsidR="00A448F3" w:rsidRPr="003272B0">
        <w:rPr>
          <w:color w:val="000000" w:themeColor="text1"/>
          <w:sz w:val="22"/>
          <w:szCs w:val="22"/>
        </w:rPr>
        <w:t xml:space="preserve">labour standards </w:t>
      </w:r>
      <w:r w:rsidR="00AE235A" w:rsidRPr="003272B0">
        <w:rPr>
          <w:color w:val="000000" w:themeColor="text1"/>
          <w:sz w:val="22"/>
          <w:szCs w:val="22"/>
        </w:rPr>
        <w:t xml:space="preserve">in the Part </w:t>
      </w:r>
      <w:r w:rsidR="00806CB8" w:rsidRPr="003272B0">
        <w:rPr>
          <w:color w:val="000000" w:themeColor="text1"/>
          <w:sz w:val="22"/>
          <w:szCs w:val="22"/>
        </w:rPr>
        <w:t>III</w:t>
      </w:r>
      <w:r w:rsidR="00AE235A" w:rsidRPr="003272B0">
        <w:rPr>
          <w:color w:val="000000" w:themeColor="text1"/>
          <w:sz w:val="22"/>
          <w:szCs w:val="22"/>
        </w:rPr>
        <w:t xml:space="preserve"> Maritime Labour Standards, which stipulate the detail requirements related to </w:t>
      </w:r>
      <w:r w:rsidR="00C62EFD" w:rsidRPr="003272B0">
        <w:rPr>
          <w:color w:val="000000" w:themeColor="text1"/>
          <w:sz w:val="22"/>
          <w:szCs w:val="22"/>
        </w:rPr>
        <w:t xml:space="preserve">recruitment, employment conditions, hours of work and rest, shore leave, food and water and </w:t>
      </w:r>
      <w:r w:rsidR="00413AC4" w:rsidRPr="003272B0">
        <w:rPr>
          <w:color w:val="000000" w:themeColor="text1"/>
          <w:sz w:val="22"/>
          <w:szCs w:val="22"/>
        </w:rPr>
        <w:t xml:space="preserve">on-board complaint procedures. </w:t>
      </w:r>
    </w:p>
    <w:p w14:paraId="130FDC10" w14:textId="627A1B17" w:rsidR="00982F3D" w:rsidRPr="003272B0" w:rsidRDefault="00982F3D" w:rsidP="002E1843">
      <w:pPr>
        <w:spacing w:line="480" w:lineRule="auto"/>
        <w:rPr>
          <w:color w:val="000000" w:themeColor="text1"/>
          <w:sz w:val="22"/>
          <w:szCs w:val="22"/>
        </w:rPr>
      </w:pPr>
    </w:p>
    <w:p w14:paraId="63EF16C1" w14:textId="4D7DFC48" w:rsidR="000E6CBB" w:rsidRPr="003272B0" w:rsidRDefault="002C2BF1" w:rsidP="002E1843">
      <w:pPr>
        <w:spacing w:line="480" w:lineRule="auto"/>
        <w:rPr>
          <w:color w:val="000000" w:themeColor="text1"/>
          <w:sz w:val="22"/>
          <w:szCs w:val="22"/>
        </w:rPr>
      </w:pPr>
      <w:r w:rsidRPr="003272B0">
        <w:rPr>
          <w:rFonts w:hint="eastAsia"/>
          <w:color w:val="000000" w:themeColor="text1"/>
          <w:sz w:val="22"/>
          <w:szCs w:val="22"/>
        </w:rPr>
        <w:t>F</w:t>
      </w:r>
      <w:r w:rsidRPr="003272B0">
        <w:rPr>
          <w:color w:val="000000" w:themeColor="text1"/>
          <w:sz w:val="22"/>
          <w:szCs w:val="22"/>
        </w:rPr>
        <w:t xml:space="preserve">ish harvesters’ health and safety are subject to both of the federal and provincial regulations. At the federal level, </w:t>
      </w:r>
      <w:r w:rsidR="00CE71C1" w:rsidRPr="003272B0">
        <w:rPr>
          <w:color w:val="000000" w:themeColor="text1"/>
          <w:sz w:val="22"/>
          <w:szCs w:val="22"/>
        </w:rPr>
        <w:t>under the Canada Shipping Act, 2001,</w:t>
      </w:r>
      <w:r w:rsidR="00683164" w:rsidRPr="003272B0">
        <w:rPr>
          <w:color w:val="000000" w:themeColor="text1"/>
          <w:sz w:val="22"/>
          <w:szCs w:val="22"/>
        </w:rPr>
        <w:t xml:space="preserve"> </w:t>
      </w:r>
      <w:r w:rsidR="00683164" w:rsidRPr="003272B0">
        <w:rPr>
          <w:rFonts w:hint="eastAsia"/>
          <w:color w:val="000000" w:themeColor="text1"/>
          <w:sz w:val="22"/>
          <w:szCs w:val="22"/>
        </w:rPr>
        <w:t>Fishing</w:t>
      </w:r>
      <w:r w:rsidR="00683164" w:rsidRPr="003272B0">
        <w:rPr>
          <w:color w:val="000000" w:themeColor="text1"/>
          <w:sz w:val="22"/>
          <w:szCs w:val="22"/>
        </w:rPr>
        <w:t xml:space="preserve"> </w:t>
      </w:r>
      <w:r w:rsidR="000A04F2" w:rsidRPr="003272B0">
        <w:rPr>
          <w:rFonts w:hint="eastAsia"/>
          <w:color w:val="000000" w:themeColor="text1"/>
          <w:sz w:val="22"/>
          <w:szCs w:val="22"/>
        </w:rPr>
        <w:t>Vessel</w:t>
      </w:r>
      <w:r w:rsidR="000A04F2" w:rsidRPr="003272B0">
        <w:rPr>
          <w:color w:val="000000" w:themeColor="text1"/>
          <w:sz w:val="22"/>
          <w:szCs w:val="22"/>
        </w:rPr>
        <w:t xml:space="preserve"> Safety Regulations, C.R.C., c. 1486 </w:t>
      </w:r>
      <w:r w:rsidR="000C05CB" w:rsidRPr="003272B0">
        <w:rPr>
          <w:color w:val="000000" w:themeColor="text1"/>
          <w:sz w:val="22"/>
          <w:szCs w:val="22"/>
        </w:rPr>
        <w:t xml:space="preserve">requires written safety procedures for crew, </w:t>
      </w:r>
      <w:r w:rsidR="00196A30" w:rsidRPr="003272B0">
        <w:rPr>
          <w:color w:val="000000" w:themeColor="text1"/>
          <w:sz w:val="22"/>
          <w:szCs w:val="22"/>
        </w:rPr>
        <w:t>proper safety equipment (life-saving appliances and visual signals, firefighting equipment)</w:t>
      </w:r>
      <w:r w:rsidR="005A0702" w:rsidRPr="003272B0">
        <w:rPr>
          <w:color w:val="000000" w:themeColor="text1"/>
          <w:sz w:val="22"/>
          <w:szCs w:val="22"/>
        </w:rPr>
        <w:t xml:space="preserve"> on board and stability assessment for all commercial fishing vessels that are not more than </w:t>
      </w:r>
      <w:r w:rsidR="005A0702" w:rsidRPr="003272B0">
        <w:rPr>
          <w:color w:val="000000" w:themeColor="text1"/>
          <w:sz w:val="22"/>
          <w:szCs w:val="22"/>
        </w:rPr>
        <w:lastRenderedPageBreak/>
        <w:t>24.4 meters in length and not more than 150 gross tonnages</w:t>
      </w:r>
      <w:r w:rsidR="002E79E8" w:rsidRPr="003272B0">
        <w:rPr>
          <w:color w:val="000000" w:themeColor="text1"/>
          <w:sz w:val="22"/>
          <w:szCs w:val="22"/>
        </w:rPr>
        <w:t>.</w:t>
      </w:r>
      <w:r w:rsidR="005A0702" w:rsidRPr="003272B0">
        <w:rPr>
          <w:rStyle w:val="FootnoteReference"/>
          <w:color w:val="000000" w:themeColor="text1"/>
          <w:sz w:val="22"/>
          <w:szCs w:val="22"/>
        </w:rPr>
        <w:footnoteReference w:id="46"/>
      </w:r>
      <w:r w:rsidR="00B35069" w:rsidRPr="003272B0">
        <w:rPr>
          <w:color w:val="000000" w:themeColor="text1"/>
          <w:sz w:val="22"/>
          <w:szCs w:val="22"/>
        </w:rPr>
        <w:t xml:space="preserve"> For fishing vessel over 24.4 meters in length, or 150 tons, gross tonnage, Large Fishing Vessel Inspection Regulations </w:t>
      </w:r>
      <w:r w:rsidR="00DB2336" w:rsidRPr="003272B0">
        <w:rPr>
          <w:color w:val="000000" w:themeColor="text1"/>
          <w:sz w:val="22"/>
          <w:szCs w:val="22"/>
        </w:rPr>
        <w:t xml:space="preserve">require stability inspection, </w:t>
      </w:r>
      <w:r w:rsidR="00175256" w:rsidRPr="003272B0">
        <w:rPr>
          <w:color w:val="000000" w:themeColor="text1"/>
          <w:sz w:val="22"/>
          <w:szCs w:val="22"/>
        </w:rPr>
        <w:t>and inspection of engines, boilers, electrical equipment, fuel tanks</w:t>
      </w:r>
      <w:r w:rsidR="00B41ABF" w:rsidRPr="003272B0">
        <w:rPr>
          <w:color w:val="000000" w:themeColor="text1"/>
          <w:sz w:val="22"/>
          <w:szCs w:val="22"/>
        </w:rPr>
        <w:t xml:space="preserve">, </w:t>
      </w:r>
      <w:r w:rsidR="002E79E8" w:rsidRPr="003272B0">
        <w:rPr>
          <w:color w:val="000000" w:themeColor="text1"/>
          <w:sz w:val="22"/>
          <w:szCs w:val="22"/>
        </w:rPr>
        <w:t>lifesaving</w:t>
      </w:r>
      <w:r w:rsidR="00B41ABF" w:rsidRPr="003272B0">
        <w:rPr>
          <w:color w:val="000000" w:themeColor="text1"/>
          <w:sz w:val="22"/>
          <w:szCs w:val="22"/>
        </w:rPr>
        <w:t xml:space="preserve"> equipment</w:t>
      </w:r>
      <w:r w:rsidR="00FB07A4" w:rsidRPr="003272B0">
        <w:rPr>
          <w:color w:val="000000" w:themeColor="text1"/>
          <w:sz w:val="22"/>
          <w:szCs w:val="22"/>
        </w:rPr>
        <w:t>, and firefighting equipment.</w:t>
      </w:r>
      <w:r w:rsidR="00FB07A4" w:rsidRPr="003272B0">
        <w:rPr>
          <w:rStyle w:val="FootnoteReference"/>
          <w:color w:val="000000" w:themeColor="text1"/>
          <w:sz w:val="22"/>
          <w:szCs w:val="22"/>
        </w:rPr>
        <w:footnoteReference w:id="47"/>
      </w:r>
      <w:r w:rsidR="00B4479A" w:rsidRPr="003272B0">
        <w:rPr>
          <w:color w:val="000000" w:themeColor="text1"/>
          <w:sz w:val="22"/>
          <w:szCs w:val="22"/>
        </w:rPr>
        <w:t xml:space="preserve"> The </w:t>
      </w:r>
      <w:r w:rsidR="00913F6A" w:rsidRPr="003272B0">
        <w:rPr>
          <w:color w:val="000000" w:themeColor="text1"/>
          <w:sz w:val="22"/>
          <w:szCs w:val="22"/>
        </w:rPr>
        <w:t>navigation crew on fishing vessels, in</w:t>
      </w:r>
      <w:r w:rsidR="00D52C4E" w:rsidRPr="003272B0">
        <w:rPr>
          <w:color w:val="000000" w:themeColor="text1"/>
          <w:sz w:val="22"/>
          <w:szCs w:val="22"/>
        </w:rPr>
        <w:t>cluding</w:t>
      </w:r>
      <w:r w:rsidR="00913F6A" w:rsidRPr="003272B0">
        <w:rPr>
          <w:color w:val="000000" w:themeColor="text1"/>
          <w:sz w:val="22"/>
          <w:szCs w:val="22"/>
        </w:rPr>
        <w:t xml:space="preserve"> fishing master and watchkeeping </w:t>
      </w:r>
      <w:r w:rsidR="00D52C4E" w:rsidRPr="003272B0">
        <w:rPr>
          <w:color w:val="000000" w:themeColor="text1"/>
          <w:sz w:val="22"/>
          <w:szCs w:val="22"/>
        </w:rPr>
        <w:t xml:space="preserve">engineer on motor driven fishing vessels, are required to </w:t>
      </w:r>
      <w:r w:rsidR="00293485" w:rsidRPr="003272B0">
        <w:rPr>
          <w:color w:val="000000" w:themeColor="text1"/>
          <w:sz w:val="22"/>
          <w:szCs w:val="22"/>
        </w:rPr>
        <w:t>fulfil the certification criteria</w:t>
      </w:r>
      <w:r w:rsidR="00A62758" w:rsidRPr="003272B0">
        <w:rPr>
          <w:color w:val="000000" w:themeColor="text1"/>
          <w:sz w:val="22"/>
          <w:szCs w:val="22"/>
        </w:rPr>
        <w:t xml:space="preserve">, including training in navigation safety, first aid and </w:t>
      </w:r>
      <w:r w:rsidR="00681054" w:rsidRPr="003272B0">
        <w:rPr>
          <w:color w:val="000000" w:themeColor="text1"/>
          <w:sz w:val="22"/>
          <w:szCs w:val="22"/>
        </w:rPr>
        <w:t xml:space="preserve">medical exams. On the other hand, fishing harvesters’ occupational health and safety rights are not covered by the federal Canada Labour Code, but by the </w:t>
      </w:r>
      <w:r w:rsidR="001002A4" w:rsidRPr="003272B0">
        <w:rPr>
          <w:color w:val="000000" w:themeColor="text1"/>
          <w:sz w:val="22"/>
          <w:szCs w:val="22"/>
        </w:rPr>
        <w:t xml:space="preserve">provincial occupational health and safety acts. </w:t>
      </w:r>
    </w:p>
    <w:p w14:paraId="760A8BF7" w14:textId="30F09CE8" w:rsidR="00951399" w:rsidRPr="003272B0" w:rsidRDefault="00174889" w:rsidP="00174889">
      <w:pPr>
        <w:pStyle w:val="ListParagraph"/>
        <w:numPr>
          <w:ilvl w:val="0"/>
          <w:numId w:val="1"/>
        </w:numPr>
        <w:spacing w:line="480" w:lineRule="auto"/>
        <w:rPr>
          <w:b/>
          <w:color w:val="000000" w:themeColor="text1"/>
          <w:sz w:val="22"/>
          <w:szCs w:val="22"/>
        </w:rPr>
      </w:pPr>
      <w:r w:rsidRPr="003272B0">
        <w:rPr>
          <w:b/>
          <w:color w:val="000000" w:themeColor="text1"/>
          <w:sz w:val="22"/>
          <w:szCs w:val="22"/>
        </w:rPr>
        <w:t xml:space="preserve">THE NEEDS TO ENHANCE THE MARINE HEALTH AND SAFETY SYSTEM </w:t>
      </w:r>
    </w:p>
    <w:p w14:paraId="62337548" w14:textId="001ED52C" w:rsidR="005D0D44" w:rsidRPr="003272B0" w:rsidRDefault="009F2650" w:rsidP="002E1843">
      <w:pPr>
        <w:spacing w:line="480" w:lineRule="auto"/>
        <w:rPr>
          <w:color w:val="000000" w:themeColor="text1"/>
          <w:sz w:val="22"/>
          <w:szCs w:val="22"/>
        </w:rPr>
      </w:pPr>
      <w:r w:rsidRPr="003272B0">
        <w:rPr>
          <w:color w:val="000000" w:themeColor="text1"/>
          <w:sz w:val="22"/>
          <w:szCs w:val="22"/>
        </w:rPr>
        <w:t>Various regulatory factors may affect the</w:t>
      </w:r>
      <w:r w:rsidR="0063548D" w:rsidRPr="003272B0">
        <w:rPr>
          <w:color w:val="000000" w:themeColor="text1"/>
          <w:sz w:val="22"/>
          <w:szCs w:val="22"/>
        </w:rPr>
        <w:t xml:space="preserve"> performance of marine health and safety, including technical standards</w:t>
      </w:r>
      <w:r w:rsidR="00C41664" w:rsidRPr="003272B0">
        <w:rPr>
          <w:color w:val="000000" w:themeColor="text1"/>
          <w:sz w:val="22"/>
          <w:szCs w:val="22"/>
        </w:rPr>
        <w:t xml:space="preserve"> of ships</w:t>
      </w:r>
      <w:r w:rsidR="0063548D" w:rsidRPr="003272B0">
        <w:rPr>
          <w:color w:val="000000" w:themeColor="text1"/>
          <w:sz w:val="22"/>
          <w:szCs w:val="22"/>
        </w:rPr>
        <w:t xml:space="preserve">, </w:t>
      </w:r>
      <w:r w:rsidR="00C41664" w:rsidRPr="003272B0">
        <w:rPr>
          <w:color w:val="000000" w:themeColor="text1"/>
          <w:sz w:val="22"/>
          <w:szCs w:val="22"/>
        </w:rPr>
        <w:t xml:space="preserve">safety equipment compulsory requirements, </w:t>
      </w:r>
      <w:r w:rsidR="001B557C" w:rsidRPr="003272B0">
        <w:rPr>
          <w:color w:val="000000" w:themeColor="text1"/>
          <w:sz w:val="22"/>
          <w:szCs w:val="22"/>
        </w:rPr>
        <w:t xml:space="preserve">search and rescue organisation, </w:t>
      </w:r>
      <w:r w:rsidR="00C41664" w:rsidRPr="003272B0">
        <w:rPr>
          <w:color w:val="000000" w:themeColor="text1"/>
          <w:sz w:val="22"/>
          <w:szCs w:val="22"/>
        </w:rPr>
        <w:t xml:space="preserve">crew training standards, </w:t>
      </w:r>
      <w:r w:rsidR="0063548D" w:rsidRPr="003272B0">
        <w:rPr>
          <w:color w:val="000000" w:themeColor="text1"/>
          <w:sz w:val="22"/>
          <w:szCs w:val="22"/>
        </w:rPr>
        <w:t>labour conditions</w:t>
      </w:r>
      <w:r w:rsidR="003A4282" w:rsidRPr="003272B0">
        <w:rPr>
          <w:color w:val="000000" w:themeColor="text1"/>
          <w:sz w:val="22"/>
          <w:szCs w:val="22"/>
        </w:rPr>
        <w:t xml:space="preserve"> and standards</w:t>
      </w:r>
      <w:r w:rsidR="001B557C" w:rsidRPr="003272B0">
        <w:rPr>
          <w:color w:val="000000" w:themeColor="text1"/>
          <w:sz w:val="22"/>
          <w:szCs w:val="22"/>
        </w:rPr>
        <w:t xml:space="preserve"> and</w:t>
      </w:r>
      <w:r w:rsidR="003A4282" w:rsidRPr="003272B0">
        <w:rPr>
          <w:color w:val="000000" w:themeColor="text1"/>
          <w:sz w:val="22"/>
          <w:szCs w:val="22"/>
        </w:rPr>
        <w:t xml:space="preserve"> crew’ participation in health and safety decision</w:t>
      </w:r>
      <w:r w:rsidR="001B557C" w:rsidRPr="003272B0">
        <w:rPr>
          <w:color w:val="000000" w:themeColor="text1"/>
          <w:sz w:val="22"/>
          <w:szCs w:val="22"/>
        </w:rPr>
        <w:t>.</w:t>
      </w:r>
      <w:r w:rsidR="001B557C" w:rsidRPr="003272B0">
        <w:rPr>
          <w:rStyle w:val="FootnoteReference"/>
          <w:color w:val="000000" w:themeColor="text1"/>
          <w:sz w:val="22"/>
          <w:szCs w:val="22"/>
        </w:rPr>
        <w:footnoteReference w:id="48"/>
      </w:r>
      <w:r w:rsidR="00375DBC" w:rsidRPr="003272B0">
        <w:rPr>
          <w:color w:val="000000" w:themeColor="text1"/>
          <w:sz w:val="22"/>
          <w:szCs w:val="22"/>
        </w:rPr>
        <w:t xml:space="preserve"> On the other hand, </w:t>
      </w:r>
      <w:r w:rsidR="00742800" w:rsidRPr="003272B0">
        <w:rPr>
          <w:color w:val="000000" w:themeColor="text1"/>
          <w:sz w:val="22"/>
          <w:szCs w:val="22"/>
        </w:rPr>
        <w:t>th</w:t>
      </w:r>
      <w:r w:rsidR="004F0C19" w:rsidRPr="003272B0">
        <w:rPr>
          <w:color w:val="000000" w:themeColor="text1"/>
          <w:sz w:val="22"/>
          <w:szCs w:val="22"/>
        </w:rPr>
        <w:t xml:space="preserve">e clarity, uniformity and consistency </w:t>
      </w:r>
      <w:r w:rsidR="009770BF" w:rsidRPr="003272B0">
        <w:rPr>
          <w:color w:val="000000" w:themeColor="text1"/>
          <w:sz w:val="22"/>
          <w:szCs w:val="22"/>
        </w:rPr>
        <w:t xml:space="preserve">of regulations </w:t>
      </w:r>
      <w:r w:rsidR="004F0C19" w:rsidRPr="003272B0">
        <w:rPr>
          <w:color w:val="000000" w:themeColor="text1"/>
          <w:sz w:val="22"/>
          <w:szCs w:val="22"/>
        </w:rPr>
        <w:t xml:space="preserve">will also affect the effectiveness of </w:t>
      </w:r>
      <w:r w:rsidR="009770BF" w:rsidRPr="003272B0">
        <w:rPr>
          <w:color w:val="000000" w:themeColor="text1"/>
          <w:sz w:val="22"/>
          <w:szCs w:val="22"/>
        </w:rPr>
        <w:t xml:space="preserve">compliance, inspection and enforcement. </w:t>
      </w:r>
      <w:r w:rsidR="0019323E" w:rsidRPr="003272B0">
        <w:rPr>
          <w:color w:val="000000" w:themeColor="text1"/>
          <w:sz w:val="22"/>
          <w:szCs w:val="22"/>
        </w:rPr>
        <w:t>Marine industr</w:t>
      </w:r>
      <w:r w:rsidR="001A45D9" w:rsidRPr="003272B0">
        <w:rPr>
          <w:color w:val="000000" w:themeColor="text1"/>
          <w:sz w:val="22"/>
          <w:szCs w:val="22"/>
        </w:rPr>
        <w:t xml:space="preserve">y also has strong international nature. Commercial shipping and fishing </w:t>
      </w:r>
      <w:r w:rsidR="00A15E7D" w:rsidRPr="003272B0">
        <w:rPr>
          <w:color w:val="000000" w:themeColor="text1"/>
          <w:sz w:val="22"/>
          <w:szCs w:val="22"/>
        </w:rPr>
        <w:t>are inevitably operating in inter</w:t>
      </w:r>
      <w:r w:rsidR="00247F5E" w:rsidRPr="003272B0">
        <w:rPr>
          <w:color w:val="000000" w:themeColor="text1"/>
          <w:sz w:val="22"/>
          <w:szCs w:val="22"/>
        </w:rPr>
        <w:t xml:space="preserve">national water </w:t>
      </w:r>
      <w:r w:rsidR="00973E01" w:rsidRPr="003272B0">
        <w:rPr>
          <w:color w:val="000000" w:themeColor="text1"/>
          <w:sz w:val="22"/>
          <w:szCs w:val="22"/>
        </w:rPr>
        <w:t xml:space="preserve">to conduct transport and fish harvesting. In addition, international maritime and labour </w:t>
      </w:r>
      <w:r w:rsidR="00973E01" w:rsidRPr="003272B0">
        <w:rPr>
          <w:color w:val="000000" w:themeColor="text1"/>
          <w:sz w:val="22"/>
          <w:szCs w:val="22"/>
        </w:rPr>
        <w:lastRenderedPageBreak/>
        <w:t>governance are also evolving</w:t>
      </w:r>
      <w:r w:rsidR="00985711" w:rsidRPr="003272B0">
        <w:rPr>
          <w:color w:val="000000" w:themeColor="text1"/>
          <w:sz w:val="22"/>
          <w:szCs w:val="22"/>
        </w:rPr>
        <w:t xml:space="preserve">, which also require a higher standard for Canadian health and safety law to fulfill. </w:t>
      </w:r>
      <w:r w:rsidR="00AF4D06" w:rsidRPr="003272B0">
        <w:rPr>
          <w:color w:val="000000" w:themeColor="text1"/>
          <w:sz w:val="22"/>
          <w:szCs w:val="22"/>
        </w:rPr>
        <w:t>The opening of the Arcti</w:t>
      </w:r>
      <w:r w:rsidR="00CD36D5" w:rsidRPr="003272B0">
        <w:rPr>
          <w:color w:val="000000" w:themeColor="text1"/>
          <w:sz w:val="22"/>
          <w:szCs w:val="22"/>
        </w:rPr>
        <w:t xml:space="preserve">c, </w:t>
      </w:r>
      <w:r w:rsidR="001C1684" w:rsidRPr="003272B0">
        <w:rPr>
          <w:color w:val="000000" w:themeColor="text1"/>
          <w:sz w:val="22"/>
          <w:szCs w:val="22"/>
        </w:rPr>
        <w:t xml:space="preserve">the increase of maritime activities in the polar water, including shipping and fishing, also require </w:t>
      </w:r>
      <w:r w:rsidR="0037412F" w:rsidRPr="003272B0">
        <w:rPr>
          <w:color w:val="000000" w:themeColor="text1"/>
          <w:sz w:val="22"/>
          <w:szCs w:val="22"/>
        </w:rPr>
        <w:t xml:space="preserve">enhancing current environmental, health and safety regulations. </w:t>
      </w:r>
      <w:r w:rsidR="00E91D9D" w:rsidRPr="003272B0">
        <w:rPr>
          <w:color w:val="000000" w:themeColor="text1"/>
          <w:sz w:val="22"/>
          <w:szCs w:val="22"/>
        </w:rPr>
        <w:t xml:space="preserve">The increase of women’s participation in the marine sector </w:t>
      </w:r>
      <w:r w:rsidR="00940FAC" w:rsidRPr="003272B0">
        <w:rPr>
          <w:color w:val="000000" w:themeColor="text1"/>
          <w:sz w:val="22"/>
          <w:szCs w:val="22"/>
        </w:rPr>
        <w:t xml:space="preserve">strengthen the need to eliminate harassment and bullying </w:t>
      </w:r>
      <w:r w:rsidR="00091399" w:rsidRPr="003272B0">
        <w:rPr>
          <w:color w:val="000000" w:themeColor="text1"/>
          <w:sz w:val="22"/>
          <w:szCs w:val="22"/>
        </w:rPr>
        <w:t xml:space="preserve">in workplaces at sea. </w:t>
      </w:r>
    </w:p>
    <w:p w14:paraId="00629097" w14:textId="4BA15406" w:rsidR="00E76992" w:rsidRPr="003272B0" w:rsidRDefault="005D0D44" w:rsidP="002E1843">
      <w:pPr>
        <w:spacing w:line="480" w:lineRule="auto"/>
        <w:ind w:firstLine="720"/>
        <w:outlineLvl w:val="0"/>
        <w:rPr>
          <w:bCs/>
          <w:color w:val="000000" w:themeColor="text1"/>
          <w:kern w:val="36"/>
          <w:sz w:val="22"/>
          <w:szCs w:val="22"/>
        </w:rPr>
      </w:pPr>
      <w:r w:rsidRPr="003272B0">
        <w:rPr>
          <w:color w:val="000000" w:themeColor="text1"/>
          <w:sz w:val="22"/>
          <w:szCs w:val="22"/>
        </w:rPr>
        <w:t xml:space="preserve">The first need to enhance the marine health and safety system is to eliminate conflicts of laws and jurisdictions. </w:t>
      </w:r>
      <w:r w:rsidR="00FA5A6E" w:rsidRPr="003272B0">
        <w:rPr>
          <w:color w:val="000000" w:themeColor="text1"/>
          <w:sz w:val="22"/>
          <w:szCs w:val="22"/>
        </w:rPr>
        <w:t xml:space="preserve">As discussed above, </w:t>
      </w:r>
      <w:r w:rsidR="00550603" w:rsidRPr="003272B0">
        <w:rPr>
          <w:color w:val="000000" w:themeColor="text1"/>
          <w:sz w:val="22"/>
          <w:szCs w:val="22"/>
        </w:rPr>
        <w:t xml:space="preserve">Canadian fishing health and safety </w:t>
      </w:r>
      <w:r w:rsidR="00616889" w:rsidRPr="003272B0">
        <w:rPr>
          <w:color w:val="000000" w:themeColor="text1"/>
          <w:sz w:val="22"/>
          <w:szCs w:val="22"/>
        </w:rPr>
        <w:t>are subject to both of the federal and provincial regulations.</w:t>
      </w:r>
      <w:r w:rsidR="00167DAC" w:rsidRPr="003272B0">
        <w:rPr>
          <w:color w:val="000000" w:themeColor="text1"/>
          <w:sz w:val="22"/>
          <w:szCs w:val="22"/>
        </w:rPr>
        <w:t xml:space="preserve"> Vessel as a </w:t>
      </w:r>
      <w:r w:rsidR="00E85933" w:rsidRPr="003272B0">
        <w:rPr>
          <w:color w:val="000000" w:themeColor="text1"/>
          <w:sz w:val="22"/>
          <w:szCs w:val="22"/>
        </w:rPr>
        <w:t>shipping vehicle</w:t>
      </w:r>
      <w:r w:rsidR="00167DAC" w:rsidRPr="003272B0">
        <w:rPr>
          <w:color w:val="000000" w:themeColor="text1"/>
          <w:sz w:val="22"/>
          <w:szCs w:val="22"/>
        </w:rPr>
        <w:t xml:space="preserve">, on one hand is subject to Canada Shipping Act, 2001 and its regulations, but on the other hand as a workplace, one may also argue it is subject to workplace health and safety conditions as well. </w:t>
      </w:r>
      <w:r w:rsidR="00E76992" w:rsidRPr="003272B0">
        <w:rPr>
          <w:bCs/>
          <w:color w:val="000000" w:themeColor="text1"/>
          <w:kern w:val="36"/>
          <w:sz w:val="22"/>
          <w:szCs w:val="22"/>
          <w:lang w:val="en-US"/>
        </w:rPr>
        <w:t>In R v Mersey Seafoods (Crown against Mersey Seafoods)</w:t>
      </w:r>
      <w:r w:rsidR="00E85933" w:rsidRPr="003272B0">
        <w:rPr>
          <w:rStyle w:val="FootnoteReference"/>
          <w:bCs/>
          <w:color w:val="000000" w:themeColor="text1"/>
          <w:kern w:val="36"/>
          <w:sz w:val="22"/>
          <w:szCs w:val="22"/>
          <w:lang w:val="en-US"/>
        </w:rPr>
        <w:footnoteReference w:id="49"/>
      </w:r>
      <w:r w:rsidR="00E76992" w:rsidRPr="003272B0">
        <w:rPr>
          <w:bCs/>
          <w:color w:val="000000" w:themeColor="text1"/>
          <w:kern w:val="36"/>
          <w:sz w:val="22"/>
          <w:szCs w:val="22"/>
          <w:lang w:val="en-US"/>
        </w:rPr>
        <w:t xml:space="preserve">, a case decided by the Nova Scotian Court of Appeal, is a case on point. Mersey seafoods is </w:t>
      </w:r>
      <w:r w:rsidR="008058BC" w:rsidRPr="003272B0">
        <w:rPr>
          <w:bCs/>
          <w:color w:val="000000" w:themeColor="text1"/>
          <w:kern w:val="36"/>
          <w:sz w:val="22"/>
          <w:szCs w:val="22"/>
          <w:lang w:val="en-US"/>
        </w:rPr>
        <w:t xml:space="preserve">an </w:t>
      </w:r>
      <w:r w:rsidR="00E76992" w:rsidRPr="003272B0">
        <w:rPr>
          <w:bCs/>
          <w:color w:val="000000" w:themeColor="text1"/>
          <w:kern w:val="36"/>
          <w:sz w:val="22"/>
          <w:szCs w:val="22"/>
          <w:lang w:val="en-US"/>
        </w:rPr>
        <w:t xml:space="preserve">owner of sea-going fishing vessels, including Mersey Venture, a factory freezer shrimping trawler, about 60 meters long and 2300 gross tonnage and has 27 crew. The port of registry is in Nova Scotia, but it fishes from shore to the Greenland coast, about 1500 nautical miles at sea and time at sea is between 30 and 50 days. In 2005 the provincial crown charged Mersey seafoods with eight counts of alleged violations of Nova Scotia’s Occupational Health and Safety Act, including failures to provide and ensure the use of a personal floatation device, to supply fresh air, establish occupational health and safety policy, program and joint occupational health and safety committee. Mersey seafoods made a preliminary motion for dismissal of the charges, based on the that the matter the charges </w:t>
      </w:r>
      <w:proofErr w:type="gramStart"/>
      <w:r w:rsidR="00E76992" w:rsidRPr="003272B0">
        <w:rPr>
          <w:bCs/>
          <w:color w:val="000000" w:themeColor="text1"/>
          <w:kern w:val="36"/>
          <w:sz w:val="22"/>
          <w:szCs w:val="22"/>
          <w:lang w:val="en-US"/>
        </w:rPr>
        <w:t>is</w:t>
      </w:r>
      <w:proofErr w:type="gramEnd"/>
      <w:r w:rsidR="00E76992" w:rsidRPr="003272B0">
        <w:rPr>
          <w:bCs/>
          <w:color w:val="000000" w:themeColor="text1"/>
          <w:kern w:val="36"/>
          <w:sz w:val="22"/>
          <w:szCs w:val="22"/>
          <w:lang w:val="en-US"/>
        </w:rPr>
        <w:t xml:space="preserve"> within federal jurisdiction and provincial OHS act is not applicable because of inter-jurisdictional immunity or </w:t>
      </w:r>
      <w:r w:rsidR="00E76992" w:rsidRPr="003272B0">
        <w:rPr>
          <w:bCs/>
          <w:color w:val="000000" w:themeColor="text1"/>
          <w:kern w:val="36"/>
          <w:sz w:val="22"/>
          <w:szCs w:val="22"/>
          <w:lang w:val="en-US"/>
        </w:rPr>
        <w:lastRenderedPageBreak/>
        <w:t>inoperative for paramountcy. The key question to determine in the dispute was whether safety aboard fishing vessels, in pith and substance, as an essential party of the management of ship, is a federal undertaking immunized from the provincial OHS Act, or subject to provincial regulation.</w:t>
      </w:r>
    </w:p>
    <w:p w14:paraId="60519AE3" w14:textId="77777777" w:rsidR="00E76992" w:rsidRPr="003272B0" w:rsidRDefault="00E76992" w:rsidP="002E1843">
      <w:pPr>
        <w:spacing w:line="480" w:lineRule="auto"/>
        <w:outlineLvl w:val="0"/>
        <w:rPr>
          <w:b/>
          <w:bCs/>
          <w:color w:val="000000" w:themeColor="text1"/>
          <w:kern w:val="36"/>
          <w:sz w:val="22"/>
          <w:szCs w:val="22"/>
        </w:rPr>
      </w:pPr>
      <w:r w:rsidRPr="003272B0">
        <w:rPr>
          <w:b/>
          <w:bCs/>
          <w:color w:val="000000" w:themeColor="text1"/>
          <w:kern w:val="36"/>
          <w:sz w:val="22"/>
          <w:szCs w:val="22"/>
          <w:lang w:val="en-US"/>
        </w:rPr>
        <w:t> </w:t>
      </w:r>
    </w:p>
    <w:p w14:paraId="35AFF2D9" w14:textId="77777777" w:rsidR="00E76992" w:rsidRPr="003272B0" w:rsidRDefault="00E76992" w:rsidP="002E1843">
      <w:pPr>
        <w:spacing w:line="480" w:lineRule="auto"/>
        <w:outlineLvl w:val="0"/>
        <w:rPr>
          <w:bCs/>
          <w:color w:val="000000" w:themeColor="text1"/>
          <w:kern w:val="36"/>
          <w:sz w:val="22"/>
          <w:szCs w:val="22"/>
        </w:rPr>
      </w:pPr>
      <w:r w:rsidRPr="003272B0">
        <w:rPr>
          <w:bCs/>
          <w:color w:val="000000" w:themeColor="text1"/>
          <w:kern w:val="36"/>
          <w:sz w:val="22"/>
          <w:szCs w:val="22"/>
          <w:lang w:val="en-US"/>
        </w:rPr>
        <w:t xml:space="preserve">At the first trial, </w:t>
      </w:r>
      <w:r w:rsidRPr="003272B0">
        <w:rPr>
          <w:bCs/>
          <w:color w:val="000000" w:themeColor="text1"/>
          <w:kern w:val="36"/>
          <w:sz w:val="22"/>
          <w:szCs w:val="22"/>
        </w:rPr>
        <w:t>the Provincial Court judge gave an oral decision quashing the charges. He said:</w:t>
      </w:r>
    </w:p>
    <w:p w14:paraId="3A0444C7" w14:textId="77777777" w:rsidR="00E76992" w:rsidRPr="003272B0" w:rsidRDefault="00E76992" w:rsidP="002E1843">
      <w:pPr>
        <w:spacing w:line="480" w:lineRule="auto"/>
        <w:ind w:left="720"/>
        <w:outlineLvl w:val="0"/>
        <w:rPr>
          <w:bCs/>
          <w:color w:val="000000" w:themeColor="text1"/>
          <w:kern w:val="36"/>
          <w:sz w:val="22"/>
          <w:szCs w:val="22"/>
        </w:rPr>
      </w:pPr>
      <w:r w:rsidRPr="003272B0">
        <w:rPr>
          <w:bCs/>
          <w:color w:val="000000" w:themeColor="text1"/>
          <w:kern w:val="36"/>
          <w:sz w:val="22"/>
          <w:szCs w:val="22"/>
        </w:rPr>
        <w:t>An examination of the Canada Labour Code and the Marine Occupational Health and Safety Regulations made thereunder, the Canada Shipping Act and the Safe Working Practises Regulations, the Tackle Regulations and the Large Fishing Vessel Inspection Regulations all make it clear that the Federal Government is attempting to regulate workplace safety aboard vessels.</w:t>
      </w:r>
    </w:p>
    <w:p w14:paraId="50CF46E1" w14:textId="77777777" w:rsidR="00E76992" w:rsidRPr="003272B0" w:rsidRDefault="00E76992" w:rsidP="002E1843">
      <w:pPr>
        <w:spacing w:line="480" w:lineRule="auto"/>
        <w:ind w:left="720"/>
        <w:outlineLvl w:val="0"/>
        <w:rPr>
          <w:bCs/>
          <w:color w:val="000000" w:themeColor="text1"/>
          <w:kern w:val="36"/>
          <w:sz w:val="22"/>
          <w:szCs w:val="22"/>
        </w:rPr>
      </w:pPr>
      <w:r w:rsidRPr="003272B0">
        <w:rPr>
          <w:bCs/>
          <w:color w:val="000000" w:themeColor="text1"/>
          <w:kern w:val="36"/>
          <w:sz w:val="22"/>
          <w:szCs w:val="22"/>
        </w:rPr>
        <w:t>In fact, Section 2 of the Canada Labour Code defines Federal work as including a work that is carried on, for, or in connection with navigation and shipping. And it is hard to imagine that that definition is not intended to cover the work carried out upon the </w:t>
      </w:r>
      <w:r w:rsidRPr="003272B0">
        <w:rPr>
          <w:bCs/>
          <w:color w:val="000000" w:themeColor="text1"/>
          <w:kern w:val="36"/>
          <w:sz w:val="22"/>
          <w:szCs w:val="22"/>
          <w:u w:val="single"/>
        </w:rPr>
        <w:t>Mersey Venture</w:t>
      </w:r>
      <w:r w:rsidRPr="003272B0">
        <w:rPr>
          <w:bCs/>
          <w:color w:val="000000" w:themeColor="text1"/>
          <w:kern w:val="36"/>
          <w:sz w:val="22"/>
          <w:szCs w:val="22"/>
        </w:rPr>
        <w:t> as a factory freezer trawler.</w:t>
      </w:r>
    </w:p>
    <w:p w14:paraId="3ADF159B" w14:textId="77777777" w:rsidR="00E76992" w:rsidRPr="003272B0" w:rsidRDefault="00E76992" w:rsidP="002E1843">
      <w:pPr>
        <w:spacing w:line="480" w:lineRule="auto"/>
        <w:outlineLvl w:val="0"/>
        <w:rPr>
          <w:bCs/>
          <w:color w:val="000000" w:themeColor="text1"/>
          <w:kern w:val="36"/>
          <w:sz w:val="22"/>
          <w:szCs w:val="22"/>
        </w:rPr>
      </w:pPr>
      <w:r w:rsidRPr="003272B0">
        <w:rPr>
          <w:bCs/>
          <w:color w:val="000000" w:themeColor="text1"/>
          <w:kern w:val="36"/>
          <w:sz w:val="22"/>
          <w:szCs w:val="22"/>
        </w:rPr>
        <w:t xml:space="preserve">The provincial court judge confirmed that fishing occupational health and safety is a matter subject to federal regulation, in particular section II of the Canada Labor Code. </w:t>
      </w:r>
    </w:p>
    <w:p w14:paraId="1B4CBC6B" w14:textId="77777777" w:rsidR="00E76992" w:rsidRPr="003272B0" w:rsidRDefault="00E76992" w:rsidP="002E1843">
      <w:pPr>
        <w:spacing w:line="480" w:lineRule="auto"/>
        <w:ind w:firstLine="720"/>
        <w:outlineLvl w:val="0"/>
        <w:rPr>
          <w:bCs/>
          <w:color w:val="000000" w:themeColor="text1"/>
          <w:kern w:val="36"/>
          <w:sz w:val="22"/>
          <w:szCs w:val="22"/>
          <w:lang w:val="en-US"/>
        </w:rPr>
      </w:pPr>
      <w:r w:rsidRPr="003272B0">
        <w:rPr>
          <w:bCs/>
          <w:color w:val="000000" w:themeColor="text1"/>
          <w:kern w:val="36"/>
          <w:sz w:val="22"/>
          <w:szCs w:val="22"/>
          <w:lang w:val="en-US"/>
        </w:rPr>
        <w:t xml:space="preserve">The crown appealed. The Court of Appeal held a different opinion from the provincial court judge, and they found that </w:t>
      </w:r>
    </w:p>
    <w:p w14:paraId="69E517EE" w14:textId="77777777" w:rsidR="00E76992" w:rsidRPr="003272B0" w:rsidRDefault="00E76992" w:rsidP="002E1843">
      <w:pPr>
        <w:spacing w:line="480" w:lineRule="auto"/>
        <w:ind w:left="720"/>
        <w:outlineLvl w:val="0"/>
        <w:rPr>
          <w:bCs/>
          <w:color w:val="000000" w:themeColor="text1"/>
          <w:kern w:val="36"/>
          <w:sz w:val="22"/>
          <w:szCs w:val="22"/>
        </w:rPr>
      </w:pPr>
      <w:r w:rsidRPr="003272B0">
        <w:rPr>
          <w:bCs/>
          <w:color w:val="000000" w:themeColor="text1"/>
          <w:kern w:val="36"/>
          <w:sz w:val="22"/>
          <w:szCs w:val="22"/>
        </w:rPr>
        <w:t>The provincial Crown does not sue Mersey Seafoods in tort. There is no issue of maritime negligence law. This is a prosecution under a provincial occupational health and safety statute. Occupational health and safety legislation has its own genealogy, rooted in neither maritime law nor tort.</w:t>
      </w:r>
    </w:p>
    <w:p w14:paraId="14D3F51B" w14:textId="77777777" w:rsidR="00E76992" w:rsidRPr="003272B0" w:rsidRDefault="00E76992" w:rsidP="002E1843">
      <w:pPr>
        <w:spacing w:line="480" w:lineRule="auto"/>
        <w:outlineLvl w:val="0"/>
        <w:rPr>
          <w:bCs/>
          <w:color w:val="000000" w:themeColor="text1"/>
          <w:kern w:val="36"/>
          <w:sz w:val="22"/>
          <w:szCs w:val="22"/>
          <w:lang w:val="en-US"/>
        </w:rPr>
      </w:pPr>
      <w:r w:rsidRPr="003272B0">
        <w:rPr>
          <w:bCs/>
          <w:color w:val="000000" w:themeColor="text1"/>
          <w:kern w:val="36"/>
          <w:sz w:val="22"/>
          <w:szCs w:val="22"/>
          <w:lang w:val="en-US"/>
        </w:rPr>
        <w:t xml:space="preserve">They concluded that </w:t>
      </w:r>
    </w:p>
    <w:p w14:paraId="226ED903" w14:textId="77777777" w:rsidR="00E76992" w:rsidRPr="003272B0" w:rsidRDefault="00E76992" w:rsidP="002E1843">
      <w:pPr>
        <w:spacing w:line="480" w:lineRule="auto"/>
        <w:ind w:left="720"/>
        <w:outlineLvl w:val="0"/>
        <w:rPr>
          <w:bCs/>
          <w:color w:val="000000" w:themeColor="text1"/>
          <w:kern w:val="36"/>
          <w:sz w:val="22"/>
          <w:szCs w:val="22"/>
          <w:lang w:val="en-US"/>
        </w:rPr>
      </w:pPr>
      <w:r w:rsidRPr="003272B0">
        <w:rPr>
          <w:bCs/>
          <w:color w:val="000000" w:themeColor="text1"/>
          <w:kern w:val="36"/>
          <w:sz w:val="22"/>
          <w:szCs w:val="22"/>
          <w:lang w:val="en-US"/>
        </w:rPr>
        <w:lastRenderedPageBreak/>
        <w:t xml:space="preserve">As Mersey seafoods, …, is a provincial undertaking, Part II of the Canada </w:t>
      </w:r>
      <w:proofErr w:type="spellStart"/>
      <w:r w:rsidRPr="003272B0">
        <w:rPr>
          <w:bCs/>
          <w:color w:val="000000" w:themeColor="text1"/>
          <w:kern w:val="36"/>
          <w:sz w:val="22"/>
          <w:szCs w:val="22"/>
          <w:lang w:val="en-US"/>
        </w:rPr>
        <w:t>Labour</w:t>
      </w:r>
      <w:proofErr w:type="spellEnd"/>
      <w:r w:rsidRPr="003272B0">
        <w:rPr>
          <w:bCs/>
          <w:color w:val="000000" w:themeColor="text1"/>
          <w:kern w:val="36"/>
          <w:sz w:val="22"/>
          <w:szCs w:val="22"/>
          <w:lang w:val="en-US"/>
        </w:rPr>
        <w:t xml:space="preserve"> Code and Maritime Occupational Safety and Health Regulations are replaced by Nova Scotia’s OHS Act. But that substitution does not change the federal purpose – the Canada Shipping Act does not aim to exclude occupational health and safety legislation. Nova Scotia’s OHS Act does not frustrate any federal statutory purpose.  </w:t>
      </w:r>
    </w:p>
    <w:p w14:paraId="11881784" w14:textId="77777777" w:rsidR="00E76992" w:rsidRPr="003272B0" w:rsidRDefault="00E76992" w:rsidP="002E1843">
      <w:pPr>
        <w:spacing w:line="480" w:lineRule="auto"/>
        <w:outlineLvl w:val="0"/>
        <w:rPr>
          <w:bCs/>
          <w:color w:val="000000" w:themeColor="text1"/>
          <w:kern w:val="36"/>
          <w:sz w:val="22"/>
          <w:szCs w:val="22"/>
        </w:rPr>
      </w:pPr>
      <w:r w:rsidRPr="003272B0">
        <w:rPr>
          <w:bCs/>
          <w:color w:val="000000" w:themeColor="text1"/>
          <w:kern w:val="36"/>
          <w:sz w:val="22"/>
          <w:szCs w:val="22"/>
          <w:lang w:val="en-US"/>
        </w:rPr>
        <w:t xml:space="preserve">The crown’s appeal was allowed. </w:t>
      </w:r>
    </w:p>
    <w:p w14:paraId="24D63BBF" w14:textId="26BE5866" w:rsidR="007E4350" w:rsidRPr="003272B0" w:rsidRDefault="00E76992" w:rsidP="005137E4">
      <w:pPr>
        <w:spacing w:line="480" w:lineRule="auto"/>
        <w:ind w:firstLine="720"/>
        <w:outlineLvl w:val="0"/>
        <w:rPr>
          <w:color w:val="000000" w:themeColor="text1"/>
          <w:sz w:val="22"/>
          <w:szCs w:val="22"/>
        </w:rPr>
      </w:pPr>
      <w:r w:rsidRPr="003272B0">
        <w:rPr>
          <w:bCs/>
          <w:color w:val="000000" w:themeColor="text1"/>
          <w:kern w:val="36"/>
          <w:sz w:val="22"/>
          <w:szCs w:val="22"/>
          <w:lang w:val="en-US"/>
        </w:rPr>
        <w:t xml:space="preserve">The Nova Scotian Court of Appeal’s judgement, R v Mersey Seafoods (Crown against Mersey Seafoods), reconfirms the application of provincial occupational health and safety regulations into the fishing </w:t>
      </w:r>
      <w:r w:rsidR="001D0D51" w:rsidRPr="003272B0">
        <w:rPr>
          <w:bCs/>
          <w:color w:val="000000" w:themeColor="text1"/>
          <w:kern w:val="36"/>
          <w:sz w:val="22"/>
          <w:szCs w:val="22"/>
          <w:lang w:val="en-US"/>
        </w:rPr>
        <w:t>vessels</w:t>
      </w:r>
      <w:r w:rsidRPr="003272B0">
        <w:rPr>
          <w:bCs/>
          <w:color w:val="000000" w:themeColor="text1"/>
          <w:kern w:val="36"/>
          <w:sz w:val="22"/>
          <w:szCs w:val="22"/>
          <w:lang w:val="en-US"/>
        </w:rPr>
        <w:t xml:space="preserve">. </w:t>
      </w:r>
      <w:r w:rsidRPr="003272B0">
        <w:rPr>
          <w:rFonts w:hint="eastAsia"/>
          <w:bCs/>
          <w:color w:val="000000" w:themeColor="text1"/>
          <w:kern w:val="36"/>
          <w:sz w:val="22"/>
          <w:szCs w:val="22"/>
          <w:lang w:val="en-US"/>
        </w:rPr>
        <w:t>However</w:t>
      </w:r>
      <w:r w:rsidRPr="003272B0">
        <w:rPr>
          <w:bCs/>
          <w:color w:val="000000" w:themeColor="text1"/>
          <w:kern w:val="36"/>
          <w:sz w:val="22"/>
          <w:szCs w:val="22"/>
        </w:rPr>
        <w:t>, this province-based fishing occupational health and safety standards for fishing workers are imbalanced. For example, o</w:t>
      </w:r>
      <w:r w:rsidRPr="003272B0">
        <w:rPr>
          <w:color w:val="000000" w:themeColor="text1"/>
          <w:sz w:val="22"/>
          <w:szCs w:val="22"/>
        </w:rPr>
        <w:t xml:space="preserve">nly two provinces, British Columbia and Newfoundland and Labrador have workplace legislation, specific to fishing vessels. The remaining provinces apply general workplace legislation to fishing vessels. New Brunswick and Prince Edward Island, although taken certain efforts to develop awareness tools, still not expressly ascertain provincial OHS jurisdiction over fishing vessels (Transport Safety Board 2017). For Arctic fishing OHS regulations, province-based regulations may not be effectively harmonized with international maritime safety and health standards in the polar waters. </w:t>
      </w:r>
      <w:r w:rsidR="00F6418D" w:rsidRPr="003272B0">
        <w:rPr>
          <w:color w:val="000000" w:themeColor="text1"/>
          <w:sz w:val="22"/>
          <w:szCs w:val="22"/>
        </w:rPr>
        <w:t>To establish a</w:t>
      </w:r>
      <w:r w:rsidR="005A143B" w:rsidRPr="003272B0">
        <w:rPr>
          <w:color w:val="000000" w:themeColor="text1"/>
          <w:sz w:val="22"/>
          <w:szCs w:val="22"/>
        </w:rPr>
        <w:t xml:space="preserve"> uniform, consistent and clarified health and safety standards </w:t>
      </w:r>
      <w:r w:rsidR="002131AE" w:rsidRPr="003272B0">
        <w:rPr>
          <w:color w:val="000000" w:themeColor="text1"/>
          <w:sz w:val="22"/>
          <w:szCs w:val="22"/>
        </w:rPr>
        <w:t xml:space="preserve">for fish harvesters in Canada is the primary condition to ensure effective health and safety protection </w:t>
      </w:r>
      <w:r w:rsidR="00C811CD" w:rsidRPr="003272B0">
        <w:rPr>
          <w:color w:val="000000" w:themeColor="text1"/>
          <w:sz w:val="22"/>
          <w:szCs w:val="22"/>
        </w:rPr>
        <w:t>for marine workers. Considering the nature of fishing vessels</w:t>
      </w:r>
      <w:r w:rsidR="00CE797B" w:rsidRPr="003272B0">
        <w:rPr>
          <w:color w:val="000000" w:themeColor="text1"/>
          <w:sz w:val="22"/>
          <w:szCs w:val="22"/>
        </w:rPr>
        <w:t xml:space="preserve"> is of a vessel, as well as a workplace, </w:t>
      </w:r>
      <w:r w:rsidR="0022789A" w:rsidRPr="003272B0">
        <w:rPr>
          <w:color w:val="000000" w:themeColor="text1"/>
          <w:sz w:val="22"/>
          <w:szCs w:val="22"/>
        </w:rPr>
        <w:t>marine health and safety regulations must fulfill the two safety aims, one is to</w:t>
      </w:r>
      <w:r w:rsidR="00CE39F9" w:rsidRPr="003272B0">
        <w:rPr>
          <w:color w:val="000000" w:themeColor="text1"/>
          <w:sz w:val="22"/>
          <w:szCs w:val="22"/>
        </w:rPr>
        <w:t xml:space="preserve"> ensure safety of vessel and the other is to further ensure the vessel is a safe workplace. However, relying on provincial OHS regulations, which are primarily designed to regulate land-based workplaces may not be an ideal option, but</w:t>
      </w:r>
      <w:r w:rsidR="00793868" w:rsidRPr="003272B0">
        <w:rPr>
          <w:color w:val="000000" w:themeColor="text1"/>
          <w:sz w:val="22"/>
          <w:szCs w:val="22"/>
        </w:rPr>
        <w:t xml:space="preserve"> rather</w:t>
      </w:r>
      <w:r w:rsidR="00CE39F9" w:rsidRPr="003272B0">
        <w:rPr>
          <w:color w:val="000000" w:themeColor="text1"/>
          <w:sz w:val="22"/>
          <w:szCs w:val="22"/>
        </w:rPr>
        <w:t xml:space="preserve"> </w:t>
      </w:r>
      <w:r w:rsidR="00793868" w:rsidRPr="003272B0">
        <w:rPr>
          <w:color w:val="000000" w:themeColor="text1"/>
          <w:sz w:val="22"/>
          <w:szCs w:val="22"/>
        </w:rPr>
        <w:t>increase the difficulties in legal compliance for fishing enterprises.</w:t>
      </w:r>
      <w:r w:rsidR="00D923CF" w:rsidRPr="003272B0">
        <w:rPr>
          <w:color w:val="000000" w:themeColor="text1"/>
          <w:sz w:val="22"/>
          <w:szCs w:val="22"/>
        </w:rPr>
        <w:t xml:space="preserve"> </w:t>
      </w:r>
    </w:p>
    <w:p w14:paraId="5E818873" w14:textId="075C8235" w:rsidR="00B82D3A" w:rsidRPr="003272B0" w:rsidRDefault="008C7830" w:rsidP="00693809">
      <w:pPr>
        <w:spacing w:line="480" w:lineRule="auto"/>
        <w:ind w:firstLine="720"/>
        <w:outlineLvl w:val="0"/>
        <w:rPr>
          <w:bCs/>
          <w:color w:val="000000" w:themeColor="text1"/>
          <w:kern w:val="36"/>
          <w:sz w:val="22"/>
          <w:szCs w:val="22"/>
        </w:rPr>
      </w:pPr>
      <w:r w:rsidRPr="003272B0">
        <w:rPr>
          <w:bCs/>
          <w:color w:val="000000" w:themeColor="text1"/>
          <w:kern w:val="36"/>
          <w:sz w:val="22"/>
          <w:szCs w:val="22"/>
        </w:rPr>
        <w:lastRenderedPageBreak/>
        <w:t xml:space="preserve">Secondly, due to the international nature of shipping and fishing, </w:t>
      </w:r>
      <w:r w:rsidR="0008326B" w:rsidRPr="003272B0">
        <w:rPr>
          <w:bCs/>
          <w:color w:val="000000" w:themeColor="text1"/>
          <w:kern w:val="36"/>
          <w:sz w:val="22"/>
          <w:szCs w:val="22"/>
        </w:rPr>
        <w:t xml:space="preserve">it is also necessary to fill the gaps between Canadian health and safety standards and international </w:t>
      </w:r>
      <w:r w:rsidR="004D0C9C" w:rsidRPr="003272B0">
        <w:rPr>
          <w:bCs/>
          <w:color w:val="000000" w:themeColor="text1"/>
          <w:kern w:val="36"/>
          <w:sz w:val="22"/>
          <w:szCs w:val="22"/>
        </w:rPr>
        <w:t xml:space="preserve">standards. </w:t>
      </w:r>
      <w:r w:rsidR="00C3683E" w:rsidRPr="003272B0">
        <w:rPr>
          <w:bCs/>
          <w:color w:val="000000" w:themeColor="text1"/>
          <w:kern w:val="36"/>
          <w:sz w:val="22"/>
          <w:szCs w:val="22"/>
        </w:rPr>
        <w:t>To fulfill the minimum international marine health and safety standards, the Canadian regulations need to be enhanced in hours of rest</w:t>
      </w:r>
      <w:r w:rsidR="00891565" w:rsidRPr="003272B0">
        <w:rPr>
          <w:bCs/>
          <w:color w:val="000000" w:themeColor="text1"/>
          <w:kern w:val="36"/>
          <w:sz w:val="22"/>
          <w:szCs w:val="22"/>
        </w:rPr>
        <w:t xml:space="preserve">, and </w:t>
      </w:r>
      <w:r w:rsidR="00C3683E" w:rsidRPr="003272B0">
        <w:rPr>
          <w:bCs/>
          <w:color w:val="000000" w:themeColor="text1"/>
          <w:kern w:val="36"/>
          <w:sz w:val="22"/>
          <w:szCs w:val="22"/>
        </w:rPr>
        <w:t xml:space="preserve">workers’ representation </w:t>
      </w:r>
      <w:r w:rsidR="00891565" w:rsidRPr="003272B0">
        <w:rPr>
          <w:bCs/>
          <w:color w:val="000000" w:themeColor="text1"/>
          <w:kern w:val="36"/>
          <w:sz w:val="22"/>
          <w:szCs w:val="22"/>
        </w:rPr>
        <w:t xml:space="preserve">in health and safety management. </w:t>
      </w:r>
      <w:r w:rsidR="00E94438" w:rsidRPr="003272B0">
        <w:rPr>
          <w:bCs/>
          <w:color w:val="000000" w:themeColor="text1"/>
          <w:kern w:val="36"/>
          <w:sz w:val="22"/>
          <w:szCs w:val="22"/>
        </w:rPr>
        <w:t xml:space="preserve">In the current hours of rest regulations, </w:t>
      </w:r>
      <w:r w:rsidR="00BA5685" w:rsidRPr="003272B0">
        <w:rPr>
          <w:bCs/>
          <w:color w:val="000000" w:themeColor="text1"/>
          <w:kern w:val="36"/>
          <w:sz w:val="22"/>
          <w:szCs w:val="22"/>
        </w:rPr>
        <w:t>workers on</w:t>
      </w:r>
      <w:r w:rsidR="007317BC" w:rsidRPr="003272B0">
        <w:rPr>
          <w:bCs/>
          <w:color w:val="000000" w:themeColor="text1"/>
          <w:kern w:val="36"/>
          <w:sz w:val="22"/>
          <w:szCs w:val="22"/>
        </w:rPr>
        <w:t xml:space="preserve"> federally regulated</w:t>
      </w:r>
      <w:r w:rsidR="00BA5685" w:rsidRPr="003272B0">
        <w:rPr>
          <w:bCs/>
          <w:color w:val="000000" w:themeColor="text1"/>
          <w:kern w:val="36"/>
          <w:sz w:val="22"/>
          <w:szCs w:val="22"/>
        </w:rPr>
        <w:t xml:space="preserve"> ships</w:t>
      </w:r>
      <w:r w:rsidR="004935C5" w:rsidRPr="003272B0">
        <w:rPr>
          <w:bCs/>
          <w:color w:val="000000" w:themeColor="text1"/>
          <w:kern w:val="36"/>
          <w:sz w:val="22"/>
          <w:szCs w:val="22"/>
        </w:rPr>
        <w:t xml:space="preserve"> are </w:t>
      </w:r>
      <w:r w:rsidR="00C4283A" w:rsidRPr="003272B0">
        <w:rPr>
          <w:bCs/>
          <w:color w:val="000000" w:themeColor="text1"/>
          <w:kern w:val="36"/>
          <w:sz w:val="22"/>
          <w:szCs w:val="22"/>
        </w:rPr>
        <w:t xml:space="preserve">exempted from the maximum </w:t>
      </w:r>
      <w:r w:rsidR="00162A92" w:rsidRPr="003272B0">
        <w:rPr>
          <w:bCs/>
          <w:color w:val="000000" w:themeColor="text1"/>
          <w:kern w:val="36"/>
          <w:sz w:val="22"/>
          <w:szCs w:val="22"/>
        </w:rPr>
        <w:t xml:space="preserve">hours of work stipulated in the Canada Labour Code Section 171, which </w:t>
      </w:r>
      <w:r w:rsidR="00B816AF" w:rsidRPr="003272B0">
        <w:rPr>
          <w:bCs/>
          <w:color w:val="000000" w:themeColor="text1"/>
          <w:kern w:val="36"/>
          <w:sz w:val="22"/>
          <w:szCs w:val="22"/>
        </w:rPr>
        <w:t>are</w:t>
      </w:r>
      <w:r w:rsidR="00162A92" w:rsidRPr="003272B0">
        <w:rPr>
          <w:bCs/>
          <w:color w:val="000000" w:themeColor="text1"/>
          <w:kern w:val="36"/>
          <w:sz w:val="22"/>
          <w:szCs w:val="22"/>
        </w:rPr>
        <w:t xml:space="preserve"> </w:t>
      </w:r>
      <w:r w:rsidR="00294DE7" w:rsidRPr="003272B0">
        <w:rPr>
          <w:bCs/>
          <w:color w:val="000000" w:themeColor="text1"/>
          <w:kern w:val="36"/>
          <w:sz w:val="22"/>
          <w:szCs w:val="22"/>
        </w:rPr>
        <w:t>48 hours/week</w:t>
      </w:r>
      <w:r w:rsidR="005137E4" w:rsidRPr="003272B0">
        <w:rPr>
          <w:rFonts w:ascii="SimSun" w:eastAsia="SimSun" w:hAnsi="SimSun" w:cs="SimSun"/>
          <w:bCs/>
          <w:color w:val="000000" w:themeColor="text1"/>
          <w:kern w:val="36"/>
          <w:sz w:val="22"/>
          <w:szCs w:val="22"/>
        </w:rPr>
        <w:t>.</w:t>
      </w:r>
      <w:r w:rsidR="00294DE7" w:rsidRPr="003272B0">
        <w:rPr>
          <w:rStyle w:val="FootnoteReference"/>
          <w:bCs/>
          <w:color w:val="000000" w:themeColor="text1"/>
          <w:kern w:val="36"/>
          <w:sz w:val="22"/>
          <w:szCs w:val="22"/>
        </w:rPr>
        <w:footnoteReference w:id="50"/>
      </w:r>
      <w:r w:rsidR="00294DE7" w:rsidRPr="003272B0">
        <w:rPr>
          <w:bCs/>
          <w:color w:val="000000" w:themeColor="text1"/>
          <w:kern w:val="36"/>
          <w:sz w:val="22"/>
          <w:szCs w:val="22"/>
        </w:rPr>
        <w:t xml:space="preserve"> </w:t>
      </w:r>
      <w:r w:rsidR="00AD245C" w:rsidRPr="003272B0">
        <w:rPr>
          <w:bCs/>
          <w:color w:val="000000" w:themeColor="text1"/>
          <w:kern w:val="36"/>
          <w:sz w:val="22"/>
          <w:szCs w:val="22"/>
        </w:rPr>
        <w:t xml:space="preserve"> </w:t>
      </w:r>
      <w:r w:rsidR="00AD245C" w:rsidRPr="003272B0">
        <w:rPr>
          <w:rFonts w:hint="eastAsia"/>
          <w:bCs/>
          <w:color w:val="000000" w:themeColor="text1"/>
          <w:kern w:val="36"/>
          <w:sz w:val="22"/>
          <w:szCs w:val="22"/>
        </w:rPr>
        <w:t>In</w:t>
      </w:r>
      <w:r w:rsidR="00AD245C" w:rsidRPr="003272B0">
        <w:rPr>
          <w:bCs/>
          <w:color w:val="000000" w:themeColor="text1"/>
          <w:kern w:val="36"/>
          <w:sz w:val="22"/>
          <w:szCs w:val="22"/>
        </w:rPr>
        <w:t>stead,</w:t>
      </w:r>
      <w:r w:rsidR="0069703F" w:rsidRPr="003272B0">
        <w:rPr>
          <w:bCs/>
          <w:color w:val="000000" w:themeColor="text1"/>
          <w:kern w:val="36"/>
          <w:sz w:val="22"/>
          <w:szCs w:val="22"/>
        </w:rPr>
        <w:t xml:space="preserve"> </w:t>
      </w:r>
      <w:r w:rsidR="0069703F" w:rsidRPr="003272B0">
        <w:rPr>
          <w:bCs/>
          <w:i/>
          <w:color w:val="000000" w:themeColor="text1"/>
          <w:kern w:val="36"/>
          <w:sz w:val="22"/>
          <w:szCs w:val="22"/>
        </w:rPr>
        <w:t>Marine Personnel Regulations</w:t>
      </w:r>
      <w:r w:rsidR="0069703F" w:rsidRPr="003272B0">
        <w:rPr>
          <w:bCs/>
          <w:color w:val="000000" w:themeColor="text1"/>
          <w:kern w:val="36"/>
          <w:sz w:val="22"/>
          <w:szCs w:val="22"/>
        </w:rPr>
        <w:t xml:space="preserve"> stipulate the minimum hours of rest for people working on federally regulated ships. </w:t>
      </w:r>
      <w:r w:rsidR="00FB6721" w:rsidRPr="003272B0">
        <w:rPr>
          <w:bCs/>
          <w:color w:val="000000" w:themeColor="text1"/>
          <w:kern w:val="36"/>
          <w:sz w:val="22"/>
          <w:szCs w:val="22"/>
        </w:rPr>
        <w:t>However,</w:t>
      </w:r>
      <w:r w:rsidR="00D03862" w:rsidRPr="003272B0">
        <w:rPr>
          <w:bCs/>
          <w:color w:val="000000" w:themeColor="text1"/>
          <w:kern w:val="36"/>
          <w:sz w:val="22"/>
          <w:szCs w:val="22"/>
        </w:rPr>
        <w:t xml:space="preserve"> the legal standards of</w:t>
      </w:r>
      <w:r w:rsidR="00FB6721" w:rsidRPr="003272B0">
        <w:rPr>
          <w:bCs/>
          <w:color w:val="000000" w:themeColor="text1"/>
          <w:kern w:val="36"/>
          <w:sz w:val="22"/>
          <w:szCs w:val="22"/>
        </w:rPr>
        <w:t xml:space="preserve"> Canadian seafarers’ right to minimum hours of rest is inferior to </w:t>
      </w:r>
      <w:r w:rsidR="00CD6010" w:rsidRPr="003272B0">
        <w:rPr>
          <w:bCs/>
          <w:color w:val="000000" w:themeColor="text1"/>
          <w:kern w:val="36"/>
          <w:sz w:val="22"/>
          <w:szCs w:val="22"/>
        </w:rPr>
        <w:t>both of the International and EU s</w:t>
      </w:r>
      <w:r w:rsidR="00043774" w:rsidRPr="003272B0">
        <w:rPr>
          <w:bCs/>
          <w:color w:val="000000" w:themeColor="text1"/>
          <w:kern w:val="36"/>
          <w:sz w:val="22"/>
          <w:szCs w:val="22"/>
        </w:rPr>
        <w:t>tandards</w:t>
      </w:r>
      <w:r w:rsidR="00F87B32" w:rsidRPr="003272B0">
        <w:rPr>
          <w:bCs/>
          <w:color w:val="000000" w:themeColor="text1"/>
          <w:kern w:val="36"/>
          <w:sz w:val="22"/>
          <w:szCs w:val="22"/>
        </w:rPr>
        <w:t xml:space="preserve"> (see Table 1)</w:t>
      </w:r>
      <w:r w:rsidR="00043774" w:rsidRPr="003272B0">
        <w:rPr>
          <w:bCs/>
          <w:color w:val="000000" w:themeColor="text1"/>
          <w:kern w:val="36"/>
          <w:sz w:val="22"/>
          <w:szCs w:val="22"/>
        </w:rPr>
        <w:t xml:space="preserve">. </w:t>
      </w:r>
    </w:p>
    <w:p w14:paraId="3C7C5061" w14:textId="4B73AACD" w:rsidR="00B82D3A" w:rsidRPr="003272B0" w:rsidRDefault="00B82D3A" w:rsidP="002E1843">
      <w:pPr>
        <w:spacing w:line="480" w:lineRule="auto"/>
        <w:rPr>
          <w:b/>
          <w:color w:val="000000" w:themeColor="text1"/>
          <w:sz w:val="22"/>
          <w:szCs w:val="22"/>
        </w:rPr>
      </w:pPr>
      <w:r w:rsidRPr="003272B0">
        <w:rPr>
          <w:b/>
          <w:color w:val="000000" w:themeColor="text1"/>
          <w:sz w:val="22"/>
          <w:szCs w:val="22"/>
        </w:rPr>
        <w:t>Table 1. Minimum hours of rest</w:t>
      </w:r>
      <w:r w:rsidR="00EB2EBA" w:rsidRPr="003272B0">
        <w:rPr>
          <w:rStyle w:val="FootnoteReference"/>
          <w:b/>
          <w:color w:val="000000" w:themeColor="text1"/>
          <w:sz w:val="22"/>
          <w:szCs w:val="22"/>
        </w:rPr>
        <w:footnoteReference w:id="5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54"/>
        <w:gridCol w:w="2608"/>
      </w:tblGrid>
      <w:tr w:rsidR="003272B0" w:rsidRPr="003272B0" w14:paraId="2CC7CAB7" w14:textId="77777777" w:rsidTr="002F6B4C">
        <w:tc>
          <w:tcPr>
            <w:tcW w:w="3116" w:type="dxa"/>
            <w:shd w:val="clear" w:color="auto" w:fill="auto"/>
          </w:tcPr>
          <w:p w14:paraId="08245B54" w14:textId="77777777" w:rsidR="00B82D3A" w:rsidRPr="003272B0" w:rsidRDefault="00B82D3A" w:rsidP="002E1843">
            <w:pPr>
              <w:spacing w:line="480" w:lineRule="auto"/>
              <w:rPr>
                <w:b/>
                <w:color w:val="000000" w:themeColor="text1"/>
                <w:sz w:val="22"/>
                <w:szCs w:val="22"/>
              </w:rPr>
            </w:pPr>
            <w:r w:rsidRPr="003272B0">
              <w:rPr>
                <w:b/>
                <w:color w:val="000000" w:themeColor="text1"/>
                <w:sz w:val="22"/>
                <w:szCs w:val="22"/>
              </w:rPr>
              <w:t>Canadian Standards**</w:t>
            </w:r>
          </w:p>
        </w:tc>
        <w:tc>
          <w:tcPr>
            <w:tcW w:w="3117" w:type="dxa"/>
            <w:shd w:val="clear" w:color="auto" w:fill="auto"/>
          </w:tcPr>
          <w:p w14:paraId="75D060EE" w14:textId="77777777" w:rsidR="00B82D3A" w:rsidRPr="003272B0" w:rsidRDefault="00B82D3A" w:rsidP="002E1843">
            <w:pPr>
              <w:spacing w:line="480" w:lineRule="auto"/>
              <w:rPr>
                <w:b/>
                <w:color w:val="000000" w:themeColor="text1"/>
                <w:sz w:val="22"/>
                <w:szCs w:val="22"/>
              </w:rPr>
            </w:pPr>
            <w:r w:rsidRPr="003272B0">
              <w:rPr>
                <w:b/>
                <w:color w:val="000000" w:themeColor="text1"/>
                <w:sz w:val="22"/>
                <w:szCs w:val="22"/>
              </w:rPr>
              <w:t>International Standards ***</w:t>
            </w:r>
          </w:p>
        </w:tc>
        <w:tc>
          <w:tcPr>
            <w:tcW w:w="3117" w:type="dxa"/>
            <w:shd w:val="clear" w:color="auto" w:fill="auto"/>
          </w:tcPr>
          <w:p w14:paraId="56238C3C" w14:textId="77777777" w:rsidR="00B82D3A" w:rsidRPr="003272B0" w:rsidRDefault="00B82D3A" w:rsidP="002E1843">
            <w:pPr>
              <w:spacing w:line="480" w:lineRule="auto"/>
              <w:rPr>
                <w:b/>
                <w:color w:val="000000" w:themeColor="text1"/>
                <w:sz w:val="22"/>
                <w:szCs w:val="22"/>
              </w:rPr>
            </w:pPr>
            <w:r w:rsidRPr="003272B0">
              <w:rPr>
                <w:b/>
                <w:color w:val="000000" w:themeColor="text1"/>
                <w:sz w:val="22"/>
                <w:szCs w:val="22"/>
              </w:rPr>
              <w:t>EU Standards****</w:t>
            </w:r>
          </w:p>
        </w:tc>
      </w:tr>
      <w:tr w:rsidR="003272B0" w:rsidRPr="003272B0" w14:paraId="7E75CCAE" w14:textId="77777777" w:rsidTr="002F6B4C">
        <w:tc>
          <w:tcPr>
            <w:tcW w:w="3116" w:type="dxa"/>
            <w:shd w:val="clear" w:color="auto" w:fill="auto"/>
          </w:tcPr>
          <w:p w14:paraId="07B89E0F" w14:textId="77777777" w:rsidR="00B82D3A" w:rsidRPr="003272B0" w:rsidRDefault="00B82D3A" w:rsidP="002E1843">
            <w:pPr>
              <w:pStyle w:val="ListParagraph"/>
              <w:spacing w:line="480" w:lineRule="auto"/>
              <w:ind w:left="0"/>
              <w:rPr>
                <w:color w:val="000000" w:themeColor="text1"/>
                <w:sz w:val="22"/>
                <w:szCs w:val="22"/>
              </w:rPr>
            </w:pPr>
            <w:r w:rsidRPr="003272B0">
              <w:rPr>
                <w:color w:val="000000" w:themeColor="text1"/>
                <w:sz w:val="22"/>
                <w:szCs w:val="22"/>
              </w:rPr>
              <w:t>Minimum hours of rest:</w:t>
            </w:r>
          </w:p>
          <w:p w14:paraId="5094552E" w14:textId="77777777" w:rsidR="00B82D3A" w:rsidRPr="003272B0" w:rsidRDefault="00B82D3A" w:rsidP="002E1843">
            <w:pPr>
              <w:spacing w:line="480" w:lineRule="auto"/>
              <w:ind w:left="-23"/>
              <w:rPr>
                <w:bCs/>
                <w:color w:val="000000" w:themeColor="text1"/>
                <w:sz w:val="22"/>
                <w:szCs w:val="22"/>
              </w:rPr>
            </w:pPr>
            <w:proofErr w:type="spellStart"/>
            <w:r w:rsidRPr="003272B0">
              <w:rPr>
                <w:color w:val="000000" w:themeColor="text1"/>
                <w:sz w:val="22"/>
                <w:szCs w:val="22"/>
              </w:rPr>
              <w:t>i</w:t>
            </w:r>
            <w:proofErr w:type="spellEnd"/>
            <w:r w:rsidRPr="003272B0">
              <w:rPr>
                <w:color w:val="000000" w:themeColor="text1"/>
                <w:sz w:val="22"/>
                <w:szCs w:val="22"/>
              </w:rPr>
              <w:t xml:space="preserve">) at least 6 consecutive hours of rest in every 24-hour period; </w:t>
            </w:r>
          </w:p>
          <w:p w14:paraId="6594943C" w14:textId="77777777" w:rsidR="00B82D3A" w:rsidRPr="003272B0" w:rsidRDefault="00B82D3A" w:rsidP="002E1843">
            <w:pPr>
              <w:spacing w:line="480" w:lineRule="auto"/>
              <w:ind w:left="-23"/>
              <w:rPr>
                <w:bCs/>
                <w:color w:val="000000" w:themeColor="text1"/>
                <w:sz w:val="22"/>
                <w:szCs w:val="22"/>
              </w:rPr>
            </w:pPr>
            <w:r w:rsidRPr="003272B0">
              <w:rPr>
                <w:color w:val="000000" w:themeColor="text1"/>
                <w:sz w:val="22"/>
                <w:szCs w:val="22"/>
              </w:rPr>
              <w:lastRenderedPageBreak/>
              <w:t xml:space="preserve">ii) at least 16 hours of rest in every 48-hour period; and </w:t>
            </w:r>
          </w:p>
          <w:p w14:paraId="1007A96D" w14:textId="77777777" w:rsidR="00B82D3A" w:rsidRPr="003272B0" w:rsidRDefault="00B82D3A" w:rsidP="002E1843">
            <w:pPr>
              <w:spacing w:line="480" w:lineRule="auto"/>
              <w:ind w:left="-23"/>
              <w:rPr>
                <w:b/>
                <w:color w:val="000000" w:themeColor="text1"/>
                <w:sz w:val="22"/>
                <w:szCs w:val="22"/>
              </w:rPr>
            </w:pPr>
            <w:r w:rsidRPr="003272B0">
              <w:rPr>
                <w:color w:val="000000" w:themeColor="text1"/>
                <w:sz w:val="22"/>
                <w:szCs w:val="22"/>
              </w:rPr>
              <w:t>iii) not more than 18 hours but not less than 6 hours elapsing between the end of a rest period and the beginning of the next rest period</w:t>
            </w:r>
          </w:p>
        </w:tc>
        <w:tc>
          <w:tcPr>
            <w:tcW w:w="3117" w:type="dxa"/>
            <w:shd w:val="clear" w:color="auto" w:fill="auto"/>
          </w:tcPr>
          <w:p w14:paraId="10FB7618" w14:textId="77777777" w:rsidR="00B82D3A" w:rsidRPr="003272B0" w:rsidRDefault="00B82D3A" w:rsidP="002E1843">
            <w:pPr>
              <w:spacing w:line="480" w:lineRule="auto"/>
              <w:rPr>
                <w:bCs/>
                <w:color w:val="000000" w:themeColor="text1"/>
                <w:sz w:val="22"/>
                <w:szCs w:val="22"/>
              </w:rPr>
            </w:pPr>
            <w:r w:rsidRPr="003272B0">
              <w:rPr>
                <w:color w:val="000000" w:themeColor="text1"/>
                <w:sz w:val="22"/>
                <w:szCs w:val="22"/>
              </w:rPr>
              <w:lastRenderedPageBreak/>
              <w:t xml:space="preserve">Maximum hours of work shall not exceed: </w:t>
            </w:r>
          </w:p>
          <w:p w14:paraId="19EE32BD" w14:textId="77777777" w:rsidR="00B82D3A" w:rsidRPr="003272B0" w:rsidRDefault="00B82D3A" w:rsidP="002E1843">
            <w:pPr>
              <w:spacing w:line="480" w:lineRule="auto"/>
              <w:ind w:left="-23"/>
              <w:rPr>
                <w:color w:val="000000" w:themeColor="text1"/>
                <w:sz w:val="22"/>
                <w:szCs w:val="22"/>
              </w:rPr>
            </w:pPr>
            <w:proofErr w:type="spellStart"/>
            <w:r w:rsidRPr="003272B0">
              <w:rPr>
                <w:color w:val="000000" w:themeColor="text1"/>
                <w:sz w:val="22"/>
                <w:szCs w:val="22"/>
              </w:rPr>
              <w:t>i</w:t>
            </w:r>
            <w:proofErr w:type="spellEnd"/>
            <w:r w:rsidRPr="003272B0">
              <w:rPr>
                <w:color w:val="000000" w:themeColor="text1"/>
                <w:sz w:val="22"/>
                <w:szCs w:val="22"/>
              </w:rPr>
              <w:t xml:space="preserve">) 14 hours in any 24-hour period; and </w:t>
            </w:r>
          </w:p>
          <w:p w14:paraId="621D4317" w14:textId="77777777" w:rsidR="00B82D3A" w:rsidRPr="003272B0" w:rsidRDefault="00B82D3A" w:rsidP="002E1843">
            <w:pPr>
              <w:spacing w:line="480" w:lineRule="auto"/>
              <w:ind w:left="-23"/>
              <w:rPr>
                <w:color w:val="000000" w:themeColor="text1"/>
                <w:sz w:val="22"/>
                <w:szCs w:val="22"/>
              </w:rPr>
            </w:pPr>
            <w:r w:rsidRPr="003272B0">
              <w:rPr>
                <w:color w:val="000000" w:themeColor="text1"/>
                <w:sz w:val="22"/>
                <w:szCs w:val="22"/>
              </w:rPr>
              <w:lastRenderedPageBreak/>
              <w:t>ii) 72 hours in any seven-day period</w:t>
            </w:r>
          </w:p>
          <w:p w14:paraId="17A3BFAC" w14:textId="77777777" w:rsidR="00B82D3A" w:rsidRPr="003272B0" w:rsidRDefault="00B82D3A" w:rsidP="002E1843">
            <w:pPr>
              <w:spacing w:line="480" w:lineRule="auto"/>
              <w:ind w:left="-23"/>
              <w:rPr>
                <w:color w:val="000000" w:themeColor="text1"/>
                <w:sz w:val="22"/>
                <w:szCs w:val="22"/>
              </w:rPr>
            </w:pPr>
          </w:p>
          <w:p w14:paraId="7FFCD5B0" w14:textId="77777777" w:rsidR="00B82D3A" w:rsidRPr="003272B0" w:rsidRDefault="00B82D3A" w:rsidP="002E1843">
            <w:pPr>
              <w:spacing w:line="480" w:lineRule="auto"/>
              <w:rPr>
                <w:bCs/>
                <w:color w:val="000000" w:themeColor="text1"/>
                <w:sz w:val="22"/>
                <w:szCs w:val="22"/>
              </w:rPr>
            </w:pPr>
            <w:r w:rsidRPr="003272B0">
              <w:rPr>
                <w:bCs/>
                <w:color w:val="000000" w:themeColor="text1"/>
                <w:sz w:val="22"/>
                <w:szCs w:val="22"/>
              </w:rPr>
              <w:t xml:space="preserve">minimum hours of rest shall not be less than: </w:t>
            </w:r>
          </w:p>
          <w:p w14:paraId="219EC796" w14:textId="77777777" w:rsidR="00B82D3A" w:rsidRPr="003272B0" w:rsidRDefault="00B82D3A" w:rsidP="002E1843">
            <w:pPr>
              <w:spacing w:line="480" w:lineRule="auto"/>
              <w:ind w:left="-23"/>
              <w:rPr>
                <w:color w:val="000000" w:themeColor="text1"/>
                <w:sz w:val="22"/>
                <w:szCs w:val="22"/>
              </w:rPr>
            </w:pPr>
            <w:proofErr w:type="spellStart"/>
            <w:r w:rsidRPr="003272B0">
              <w:rPr>
                <w:bCs/>
                <w:color w:val="000000" w:themeColor="text1"/>
                <w:sz w:val="22"/>
                <w:szCs w:val="22"/>
              </w:rPr>
              <w:t>i</w:t>
            </w:r>
            <w:proofErr w:type="spellEnd"/>
            <w:r w:rsidRPr="003272B0">
              <w:rPr>
                <w:bCs/>
                <w:color w:val="000000" w:themeColor="text1"/>
                <w:sz w:val="22"/>
                <w:szCs w:val="22"/>
              </w:rPr>
              <w:t xml:space="preserve">) ten </w:t>
            </w:r>
            <w:r w:rsidRPr="003272B0">
              <w:rPr>
                <w:color w:val="000000" w:themeColor="text1"/>
                <w:sz w:val="22"/>
                <w:szCs w:val="22"/>
              </w:rPr>
              <w:t xml:space="preserve">hours in any 24-hour period;  </w:t>
            </w:r>
          </w:p>
          <w:p w14:paraId="635B88B3" w14:textId="77777777" w:rsidR="00B82D3A" w:rsidRPr="003272B0" w:rsidRDefault="00B82D3A" w:rsidP="002E1843">
            <w:pPr>
              <w:spacing w:line="480" w:lineRule="auto"/>
              <w:ind w:left="-23"/>
              <w:rPr>
                <w:color w:val="000000" w:themeColor="text1"/>
                <w:sz w:val="22"/>
                <w:szCs w:val="22"/>
              </w:rPr>
            </w:pPr>
            <w:r w:rsidRPr="003272B0">
              <w:rPr>
                <w:color w:val="000000" w:themeColor="text1"/>
                <w:sz w:val="22"/>
                <w:szCs w:val="22"/>
              </w:rPr>
              <w:t>ii) 77 hours in any seven-day period</w:t>
            </w:r>
          </w:p>
        </w:tc>
        <w:tc>
          <w:tcPr>
            <w:tcW w:w="3117" w:type="dxa"/>
            <w:shd w:val="clear" w:color="auto" w:fill="auto"/>
          </w:tcPr>
          <w:p w14:paraId="4998389B" w14:textId="77777777" w:rsidR="00B82D3A" w:rsidRPr="003272B0" w:rsidRDefault="00B82D3A" w:rsidP="002E1843">
            <w:pPr>
              <w:spacing w:line="480" w:lineRule="auto"/>
              <w:rPr>
                <w:color w:val="000000" w:themeColor="text1"/>
                <w:sz w:val="22"/>
                <w:szCs w:val="22"/>
              </w:rPr>
            </w:pPr>
            <w:r w:rsidRPr="003272B0">
              <w:rPr>
                <w:color w:val="000000" w:themeColor="text1"/>
                <w:sz w:val="22"/>
                <w:szCs w:val="22"/>
              </w:rPr>
              <w:lastRenderedPageBreak/>
              <w:t>Working time shall not exceed:</w:t>
            </w:r>
          </w:p>
          <w:p w14:paraId="6FC07CA1" w14:textId="77777777" w:rsidR="00B82D3A" w:rsidRPr="003272B0" w:rsidRDefault="00B82D3A" w:rsidP="002E1843">
            <w:pPr>
              <w:spacing w:line="480" w:lineRule="auto"/>
              <w:rPr>
                <w:color w:val="000000" w:themeColor="text1"/>
                <w:sz w:val="22"/>
                <w:szCs w:val="22"/>
              </w:rPr>
            </w:pPr>
            <w:r w:rsidRPr="003272B0">
              <w:rPr>
                <w:color w:val="000000" w:themeColor="text1"/>
                <w:sz w:val="22"/>
                <w:szCs w:val="22"/>
              </w:rPr>
              <w:t>a) 14 hours in any 24-hour period; and</w:t>
            </w:r>
          </w:p>
          <w:p w14:paraId="467A2306" w14:textId="77777777" w:rsidR="00B82D3A" w:rsidRPr="003272B0" w:rsidRDefault="00B82D3A" w:rsidP="002E1843">
            <w:pPr>
              <w:spacing w:line="480" w:lineRule="auto"/>
              <w:rPr>
                <w:color w:val="000000" w:themeColor="text1"/>
                <w:sz w:val="22"/>
                <w:szCs w:val="22"/>
              </w:rPr>
            </w:pPr>
            <w:r w:rsidRPr="003272B0">
              <w:rPr>
                <w:color w:val="000000" w:themeColor="text1"/>
                <w:sz w:val="22"/>
                <w:szCs w:val="22"/>
              </w:rPr>
              <w:lastRenderedPageBreak/>
              <w:t>b) 84 hours in any seven-day period</w:t>
            </w:r>
          </w:p>
          <w:p w14:paraId="569E84CE" w14:textId="77777777" w:rsidR="00B82D3A" w:rsidRPr="003272B0" w:rsidRDefault="00B82D3A" w:rsidP="002E1843">
            <w:pPr>
              <w:spacing w:line="480" w:lineRule="auto"/>
              <w:rPr>
                <w:color w:val="000000" w:themeColor="text1"/>
                <w:sz w:val="22"/>
                <w:szCs w:val="22"/>
              </w:rPr>
            </w:pPr>
          </w:p>
          <w:p w14:paraId="1A59B4B2" w14:textId="77777777" w:rsidR="00B82D3A" w:rsidRPr="003272B0" w:rsidRDefault="00B82D3A" w:rsidP="002E1843">
            <w:pPr>
              <w:spacing w:line="480" w:lineRule="auto"/>
              <w:rPr>
                <w:color w:val="000000" w:themeColor="text1"/>
                <w:sz w:val="22"/>
                <w:szCs w:val="22"/>
              </w:rPr>
            </w:pPr>
            <w:r w:rsidRPr="003272B0">
              <w:rPr>
                <w:color w:val="000000" w:themeColor="text1"/>
                <w:sz w:val="22"/>
                <w:szCs w:val="22"/>
              </w:rPr>
              <w:t>If, according to the work schedule, there are more working days than rest days, an average weekly working time of 72 hours shall not be exceeded over a four-month period</w:t>
            </w:r>
          </w:p>
        </w:tc>
      </w:tr>
      <w:tr w:rsidR="00B82D3A" w:rsidRPr="003272B0" w14:paraId="2A83D428" w14:textId="77777777" w:rsidTr="002F6B4C">
        <w:tc>
          <w:tcPr>
            <w:tcW w:w="9350" w:type="dxa"/>
            <w:gridSpan w:val="3"/>
            <w:shd w:val="clear" w:color="auto" w:fill="auto"/>
          </w:tcPr>
          <w:p w14:paraId="083A1C03" w14:textId="77777777" w:rsidR="00B82D3A" w:rsidRPr="003272B0" w:rsidRDefault="00B82D3A" w:rsidP="002E1843">
            <w:pPr>
              <w:spacing w:line="480" w:lineRule="auto"/>
              <w:rPr>
                <w:bCs/>
                <w:color w:val="000000" w:themeColor="text1"/>
                <w:sz w:val="22"/>
                <w:szCs w:val="22"/>
              </w:rPr>
            </w:pPr>
            <w:r w:rsidRPr="003272B0">
              <w:rPr>
                <w:bCs/>
                <w:color w:val="000000" w:themeColor="text1"/>
                <w:sz w:val="22"/>
                <w:szCs w:val="22"/>
              </w:rPr>
              <w:lastRenderedPageBreak/>
              <w:t>** See Section 320, Marine Personnel Regulations (SOR/2007-115)</w:t>
            </w:r>
          </w:p>
          <w:p w14:paraId="385148AD" w14:textId="77777777" w:rsidR="00B82D3A" w:rsidRPr="003272B0" w:rsidRDefault="00B82D3A" w:rsidP="002E1843">
            <w:pPr>
              <w:spacing w:line="480" w:lineRule="auto"/>
              <w:rPr>
                <w:bCs/>
                <w:color w:val="000000" w:themeColor="text1"/>
                <w:sz w:val="22"/>
                <w:szCs w:val="22"/>
              </w:rPr>
            </w:pPr>
            <w:r w:rsidRPr="003272B0">
              <w:rPr>
                <w:bCs/>
                <w:color w:val="000000" w:themeColor="text1"/>
                <w:sz w:val="22"/>
                <w:szCs w:val="22"/>
              </w:rPr>
              <w:t>***See Regulation 2.3 of the Maritime Labour Convention 2006.</w:t>
            </w:r>
          </w:p>
          <w:p w14:paraId="215DE76C" w14:textId="77777777" w:rsidR="00B82D3A" w:rsidRPr="003272B0" w:rsidRDefault="00B82D3A" w:rsidP="002E1843">
            <w:pPr>
              <w:spacing w:line="480" w:lineRule="auto"/>
              <w:rPr>
                <w:color w:val="000000" w:themeColor="text1"/>
                <w:sz w:val="22"/>
                <w:szCs w:val="22"/>
              </w:rPr>
            </w:pPr>
            <w:r w:rsidRPr="003272B0">
              <w:rPr>
                <w:bCs/>
                <w:color w:val="000000" w:themeColor="text1"/>
                <w:sz w:val="22"/>
                <w:szCs w:val="22"/>
              </w:rPr>
              <w:t xml:space="preserve">**** See Paragraph 4, COUNCIL DIRECTIVE 2014/112/EU of 19 December 2014 implementing the European Agreement concerning certain aspects of the organisation of working time in inland waterway transport, concluded by the European Barge Union (EBU), the European Skippers Organisation (ESO) and the European Transport Workers' Federation (ETF) </w:t>
            </w:r>
          </w:p>
        </w:tc>
      </w:tr>
    </w:tbl>
    <w:p w14:paraId="1437D1E7" w14:textId="099C663B" w:rsidR="00B82D3A" w:rsidRPr="003272B0" w:rsidRDefault="00B82D3A" w:rsidP="002E1843">
      <w:pPr>
        <w:spacing w:line="480" w:lineRule="auto"/>
        <w:ind w:firstLine="720"/>
        <w:outlineLvl w:val="0"/>
        <w:rPr>
          <w:bCs/>
          <w:color w:val="000000" w:themeColor="text1"/>
          <w:kern w:val="36"/>
          <w:sz w:val="22"/>
          <w:szCs w:val="22"/>
        </w:rPr>
      </w:pPr>
    </w:p>
    <w:p w14:paraId="4494B50A" w14:textId="5DCB36D6" w:rsidR="00103E28" w:rsidRPr="003272B0" w:rsidRDefault="00044799" w:rsidP="002E1843">
      <w:pPr>
        <w:spacing w:line="480" w:lineRule="auto"/>
        <w:ind w:firstLine="720"/>
        <w:rPr>
          <w:color w:val="000000" w:themeColor="text1"/>
          <w:sz w:val="22"/>
          <w:szCs w:val="22"/>
        </w:rPr>
      </w:pPr>
      <w:r w:rsidRPr="003272B0">
        <w:rPr>
          <w:bCs/>
          <w:color w:val="000000" w:themeColor="text1"/>
          <w:kern w:val="36"/>
          <w:sz w:val="22"/>
          <w:szCs w:val="22"/>
        </w:rPr>
        <w:t xml:space="preserve">In addition, </w:t>
      </w:r>
      <w:r w:rsidR="00F908B9" w:rsidRPr="003272B0">
        <w:rPr>
          <w:bCs/>
          <w:color w:val="000000" w:themeColor="text1"/>
          <w:kern w:val="36"/>
          <w:sz w:val="22"/>
          <w:szCs w:val="22"/>
        </w:rPr>
        <w:t>marine workers’</w:t>
      </w:r>
      <w:r w:rsidRPr="003272B0">
        <w:rPr>
          <w:bCs/>
          <w:color w:val="000000" w:themeColor="text1"/>
          <w:kern w:val="36"/>
          <w:sz w:val="22"/>
          <w:szCs w:val="22"/>
        </w:rPr>
        <w:t xml:space="preserve"> right to participate safety management</w:t>
      </w:r>
      <w:r w:rsidR="00F908B9" w:rsidRPr="003272B0">
        <w:rPr>
          <w:bCs/>
          <w:color w:val="000000" w:themeColor="text1"/>
          <w:kern w:val="36"/>
          <w:sz w:val="22"/>
          <w:szCs w:val="22"/>
        </w:rPr>
        <w:t xml:space="preserve"> should also be enhanced. </w:t>
      </w:r>
      <w:r w:rsidR="00103E28" w:rsidRPr="003272B0">
        <w:rPr>
          <w:bCs/>
          <w:color w:val="000000" w:themeColor="text1"/>
          <w:kern w:val="36"/>
          <w:sz w:val="22"/>
          <w:szCs w:val="22"/>
        </w:rPr>
        <w:t xml:space="preserve">The workplace health and safety committee </w:t>
      </w:r>
      <w:proofErr w:type="gramStart"/>
      <w:r w:rsidR="00103E28" w:rsidRPr="003272B0">
        <w:rPr>
          <w:bCs/>
          <w:color w:val="000000" w:themeColor="text1"/>
          <w:kern w:val="36"/>
          <w:sz w:val="22"/>
          <w:szCs w:val="22"/>
        </w:rPr>
        <w:t>is</w:t>
      </w:r>
      <w:proofErr w:type="gramEnd"/>
      <w:r w:rsidR="00103E28" w:rsidRPr="003272B0">
        <w:rPr>
          <w:bCs/>
          <w:color w:val="000000" w:themeColor="text1"/>
          <w:kern w:val="36"/>
          <w:sz w:val="22"/>
          <w:szCs w:val="22"/>
        </w:rPr>
        <w:t xml:space="preserve"> a key institution</w:t>
      </w:r>
      <w:r w:rsidR="0067196B" w:rsidRPr="003272B0">
        <w:rPr>
          <w:bCs/>
          <w:color w:val="000000" w:themeColor="text1"/>
          <w:kern w:val="36"/>
          <w:sz w:val="22"/>
          <w:szCs w:val="22"/>
        </w:rPr>
        <w:t xml:space="preserve">, but </w:t>
      </w:r>
      <w:r w:rsidR="00103E28" w:rsidRPr="003272B0">
        <w:rPr>
          <w:color w:val="000000" w:themeColor="text1"/>
          <w:sz w:val="22"/>
          <w:szCs w:val="22"/>
        </w:rPr>
        <w:t xml:space="preserve">the mandatory establishment of workplace health and safety committees is not applicable to ships. According to Section 135 (1), “for the purposes of addressing health and safety matters that apply to individual work places, and subject to this section, every employer shall, for each work place controlled by the employer at which twenty or more employees are normally employed, establish a workplace health and safety committee and, […], select and appoint its members”. However, an employer is </w:t>
      </w:r>
      <w:r w:rsidR="00103E28" w:rsidRPr="003272B0">
        <w:rPr>
          <w:color w:val="000000" w:themeColor="text1"/>
          <w:sz w:val="22"/>
          <w:szCs w:val="22"/>
        </w:rPr>
        <w:lastRenderedPageBreak/>
        <w:t>not required to establish such a committee for a workplace that is on board a ship in respect of employees whose base is the ship.</w:t>
      </w:r>
      <w:r w:rsidR="00103E28" w:rsidRPr="003272B0">
        <w:rPr>
          <w:rStyle w:val="EndnoteReference"/>
          <w:color w:val="000000" w:themeColor="text1"/>
          <w:sz w:val="22"/>
          <w:szCs w:val="22"/>
        </w:rPr>
        <w:endnoteReference w:id="1"/>
      </w:r>
      <w:r w:rsidR="00103E28" w:rsidRPr="003272B0">
        <w:rPr>
          <w:color w:val="000000" w:themeColor="text1"/>
          <w:sz w:val="22"/>
          <w:szCs w:val="22"/>
        </w:rPr>
        <w:t xml:space="preserve"> Canadian ships are, however, required to have health and safety representatives. As per Section 136 (1), every employer shall for each workplace controlled by the employer which is not required to establish a workplace committee, appoint a person as the health and safety representative.</w:t>
      </w:r>
      <w:r w:rsidR="00782BB4" w:rsidRPr="003272B0">
        <w:rPr>
          <w:rStyle w:val="FootnoteReference"/>
          <w:color w:val="000000" w:themeColor="text1"/>
          <w:sz w:val="22"/>
          <w:szCs w:val="22"/>
        </w:rPr>
        <w:footnoteReference w:id="52"/>
      </w:r>
      <w:r w:rsidR="00103E28" w:rsidRPr="003272B0">
        <w:rPr>
          <w:color w:val="000000" w:themeColor="text1"/>
          <w:sz w:val="22"/>
          <w:szCs w:val="22"/>
        </w:rPr>
        <w:t xml:space="preserve"> </w:t>
      </w:r>
      <w:r w:rsidR="00924DA4" w:rsidRPr="003272B0">
        <w:rPr>
          <w:color w:val="000000" w:themeColor="text1"/>
          <w:sz w:val="22"/>
          <w:szCs w:val="22"/>
        </w:rPr>
        <w:t xml:space="preserve">This exemption of workplace health and safety committee </w:t>
      </w:r>
      <w:r w:rsidR="00204DA4" w:rsidRPr="003272B0">
        <w:rPr>
          <w:color w:val="000000" w:themeColor="text1"/>
          <w:sz w:val="22"/>
          <w:szCs w:val="22"/>
        </w:rPr>
        <w:t xml:space="preserve">makes Canadian maritime workers’ right to participate in the health and safety management lower compared to the </w:t>
      </w:r>
      <w:proofErr w:type="gramStart"/>
      <w:r w:rsidR="00204DA4" w:rsidRPr="003272B0">
        <w:rPr>
          <w:color w:val="000000" w:themeColor="text1"/>
          <w:sz w:val="22"/>
          <w:szCs w:val="22"/>
        </w:rPr>
        <w:t>land based</w:t>
      </w:r>
      <w:proofErr w:type="gramEnd"/>
      <w:r w:rsidR="00204DA4" w:rsidRPr="003272B0">
        <w:rPr>
          <w:color w:val="000000" w:themeColor="text1"/>
          <w:sz w:val="22"/>
          <w:szCs w:val="22"/>
        </w:rPr>
        <w:t xml:space="preserve"> workers. In addition, this exemption </w:t>
      </w:r>
      <w:r w:rsidR="00134936" w:rsidRPr="003272B0">
        <w:rPr>
          <w:color w:val="000000" w:themeColor="text1"/>
          <w:sz w:val="22"/>
          <w:szCs w:val="22"/>
        </w:rPr>
        <w:t xml:space="preserve">may also place Canada, as a member state of the Maritime Labour Convention, 2006, fail to comply with its obligations to provide minimum health and safety protection </w:t>
      </w:r>
      <w:r w:rsidR="00C11276" w:rsidRPr="003272B0">
        <w:rPr>
          <w:color w:val="000000" w:themeColor="text1"/>
          <w:sz w:val="22"/>
          <w:szCs w:val="22"/>
        </w:rPr>
        <w:t>standard. According to the Standard A4.3</w:t>
      </w:r>
      <w:r w:rsidR="000E39DB" w:rsidRPr="003272B0">
        <w:rPr>
          <w:color w:val="000000" w:themeColor="text1"/>
          <w:sz w:val="22"/>
          <w:szCs w:val="22"/>
        </w:rPr>
        <w:t>.</w:t>
      </w:r>
      <w:r w:rsidR="008D175A" w:rsidRPr="003272B0">
        <w:rPr>
          <w:color w:val="000000" w:themeColor="text1"/>
          <w:sz w:val="22"/>
          <w:szCs w:val="22"/>
        </w:rPr>
        <w:t>2</w:t>
      </w:r>
      <w:r w:rsidR="000E39DB" w:rsidRPr="003272B0">
        <w:rPr>
          <w:color w:val="000000" w:themeColor="text1"/>
          <w:sz w:val="22"/>
          <w:szCs w:val="22"/>
        </w:rPr>
        <w:t xml:space="preserve"> (</w:t>
      </w:r>
      <w:r w:rsidR="008D175A" w:rsidRPr="003272B0">
        <w:rPr>
          <w:color w:val="000000" w:themeColor="text1"/>
          <w:sz w:val="22"/>
          <w:szCs w:val="22"/>
        </w:rPr>
        <w:t>d</w:t>
      </w:r>
      <w:r w:rsidR="000E39DB" w:rsidRPr="003272B0">
        <w:rPr>
          <w:color w:val="000000" w:themeColor="text1"/>
          <w:sz w:val="22"/>
          <w:szCs w:val="22"/>
        </w:rPr>
        <w:t>)</w:t>
      </w:r>
      <w:r w:rsidR="008D175A" w:rsidRPr="003272B0">
        <w:rPr>
          <w:color w:val="000000" w:themeColor="text1"/>
          <w:sz w:val="22"/>
          <w:szCs w:val="22"/>
        </w:rPr>
        <w:t xml:space="preserve">, </w:t>
      </w:r>
      <w:r w:rsidR="00113377" w:rsidRPr="003272B0">
        <w:rPr>
          <w:color w:val="000000" w:themeColor="text1"/>
          <w:sz w:val="22"/>
          <w:szCs w:val="22"/>
        </w:rPr>
        <w:t xml:space="preserve">a ship’s safety committee </w:t>
      </w:r>
      <w:r w:rsidR="007C5C12" w:rsidRPr="003272B0">
        <w:rPr>
          <w:color w:val="000000" w:themeColor="text1"/>
          <w:sz w:val="22"/>
          <w:szCs w:val="22"/>
        </w:rPr>
        <w:t xml:space="preserve">shall be established on board a ship on which there are five or more seafarers and </w:t>
      </w:r>
      <w:r w:rsidR="009F0FE8" w:rsidRPr="003272B0">
        <w:rPr>
          <w:color w:val="000000" w:themeColor="text1"/>
          <w:sz w:val="22"/>
          <w:szCs w:val="22"/>
        </w:rPr>
        <w:t xml:space="preserve">seafarers should be appointed or elected as safety representatives to participate in meetings of the ship’s safety committee. However, the current Canadian health and safety standard allow a ship with </w:t>
      </w:r>
      <w:r w:rsidR="0016799B" w:rsidRPr="003272B0">
        <w:rPr>
          <w:color w:val="000000" w:themeColor="text1"/>
          <w:sz w:val="22"/>
          <w:szCs w:val="22"/>
        </w:rPr>
        <w:t>more than</w:t>
      </w:r>
      <w:r w:rsidR="009F0FE8" w:rsidRPr="003272B0">
        <w:rPr>
          <w:color w:val="000000" w:themeColor="text1"/>
          <w:sz w:val="22"/>
          <w:szCs w:val="22"/>
        </w:rPr>
        <w:t xml:space="preserve"> 20 seafarers operate with a safety representative rather than with </w:t>
      </w:r>
      <w:r w:rsidR="001719D6" w:rsidRPr="003272B0">
        <w:rPr>
          <w:color w:val="000000" w:themeColor="text1"/>
          <w:sz w:val="22"/>
          <w:szCs w:val="22"/>
        </w:rPr>
        <w:t xml:space="preserve">a properly established health and safety committee on board. </w:t>
      </w:r>
      <w:r w:rsidR="008C3693" w:rsidRPr="003272B0">
        <w:rPr>
          <w:color w:val="000000" w:themeColor="text1"/>
          <w:sz w:val="22"/>
          <w:szCs w:val="22"/>
        </w:rPr>
        <w:t>Through this comparative study, to fulfill Canadian</w:t>
      </w:r>
      <w:r w:rsidR="006C381B" w:rsidRPr="003272B0">
        <w:rPr>
          <w:color w:val="000000" w:themeColor="text1"/>
          <w:sz w:val="22"/>
          <w:szCs w:val="22"/>
        </w:rPr>
        <w:t xml:space="preserve"> obligation as per the Maritime Labour Convention, 2006, it is necessary to require a mandatory establishment of workplace health and safety committee </w:t>
      </w:r>
      <w:r w:rsidR="0098023C" w:rsidRPr="003272B0">
        <w:rPr>
          <w:color w:val="000000" w:themeColor="text1"/>
          <w:sz w:val="22"/>
          <w:szCs w:val="22"/>
        </w:rPr>
        <w:t xml:space="preserve">on board a vessel with more than 5 seafarers. </w:t>
      </w:r>
    </w:p>
    <w:p w14:paraId="4AD6AC41" w14:textId="0FD1B237" w:rsidR="00A5239D" w:rsidRPr="003272B0" w:rsidRDefault="00EF029C" w:rsidP="002E1843">
      <w:pPr>
        <w:spacing w:line="480" w:lineRule="auto"/>
        <w:ind w:firstLine="720"/>
        <w:outlineLvl w:val="0"/>
        <w:rPr>
          <w:bCs/>
          <w:color w:val="000000" w:themeColor="text1"/>
          <w:kern w:val="36"/>
          <w:sz w:val="22"/>
          <w:szCs w:val="22"/>
        </w:rPr>
      </w:pPr>
      <w:r w:rsidRPr="003272B0">
        <w:rPr>
          <w:bCs/>
          <w:color w:val="000000" w:themeColor="text1"/>
          <w:kern w:val="36"/>
          <w:sz w:val="22"/>
          <w:szCs w:val="22"/>
        </w:rPr>
        <w:t xml:space="preserve">Thirdly, there are </w:t>
      </w:r>
      <w:r w:rsidR="00E902DF" w:rsidRPr="003272B0">
        <w:rPr>
          <w:bCs/>
          <w:color w:val="000000" w:themeColor="text1"/>
          <w:kern w:val="36"/>
          <w:sz w:val="22"/>
          <w:szCs w:val="22"/>
        </w:rPr>
        <w:t xml:space="preserve">some </w:t>
      </w:r>
      <w:r w:rsidR="008058BC" w:rsidRPr="003272B0">
        <w:rPr>
          <w:bCs/>
          <w:color w:val="000000" w:themeColor="text1"/>
          <w:kern w:val="36"/>
          <w:sz w:val="22"/>
          <w:szCs w:val="22"/>
        </w:rPr>
        <w:t>emerging</w:t>
      </w:r>
      <w:r w:rsidR="00E902DF" w:rsidRPr="003272B0">
        <w:rPr>
          <w:rFonts w:hint="eastAsia"/>
          <w:bCs/>
          <w:color w:val="000000" w:themeColor="text1"/>
          <w:kern w:val="36"/>
          <w:sz w:val="22"/>
          <w:szCs w:val="22"/>
        </w:rPr>
        <w:t xml:space="preserve"> </w:t>
      </w:r>
      <w:r w:rsidR="00E902DF" w:rsidRPr="003272B0">
        <w:rPr>
          <w:bCs/>
          <w:color w:val="000000" w:themeColor="text1"/>
          <w:kern w:val="36"/>
          <w:sz w:val="22"/>
          <w:szCs w:val="22"/>
        </w:rPr>
        <w:t>areas need to be</w:t>
      </w:r>
      <w:r w:rsidR="008058BC" w:rsidRPr="003272B0">
        <w:rPr>
          <w:bCs/>
          <w:color w:val="000000" w:themeColor="text1"/>
          <w:kern w:val="36"/>
          <w:sz w:val="22"/>
          <w:szCs w:val="22"/>
        </w:rPr>
        <w:t xml:space="preserve"> enhanced</w:t>
      </w:r>
      <w:r w:rsidR="00E902DF" w:rsidRPr="003272B0">
        <w:rPr>
          <w:bCs/>
          <w:color w:val="000000" w:themeColor="text1"/>
          <w:kern w:val="36"/>
          <w:sz w:val="22"/>
          <w:szCs w:val="22"/>
        </w:rPr>
        <w:t xml:space="preserve"> in </w:t>
      </w:r>
      <w:r w:rsidR="008058BC" w:rsidRPr="003272B0">
        <w:rPr>
          <w:bCs/>
          <w:color w:val="000000" w:themeColor="text1"/>
          <w:kern w:val="36"/>
          <w:sz w:val="22"/>
          <w:szCs w:val="22"/>
        </w:rPr>
        <w:t xml:space="preserve">Canadian </w:t>
      </w:r>
      <w:r w:rsidR="001466A4" w:rsidRPr="003272B0">
        <w:rPr>
          <w:bCs/>
          <w:color w:val="000000" w:themeColor="text1"/>
          <w:kern w:val="36"/>
          <w:sz w:val="22"/>
          <w:szCs w:val="22"/>
        </w:rPr>
        <w:t>marine health and safety legal system, such as</w:t>
      </w:r>
      <w:r w:rsidR="00905024" w:rsidRPr="003272B0">
        <w:rPr>
          <w:bCs/>
          <w:color w:val="000000" w:themeColor="text1"/>
          <w:kern w:val="36"/>
          <w:sz w:val="22"/>
          <w:szCs w:val="22"/>
        </w:rPr>
        <w:t xml:space="preserve"> fatigue preventio</w:t>
      </w:r>
      <w:r w:rsidR="00EC50DF" w:rsidRPr="003272B0">
        <w:rPr>
          <w:bCs/>
          <w:color w:val="000000" w:themeColor="text1"/>
          <w:kern w:val="36"/>
          <w:sz w:val="22"/>
          <w:szCs w:val="22"/>
        </w:rPr>
        <w:t>n</w:t>
      </w:r>
      <w:r w:rsidR="00F56A47" w:rsidRPr="003272B0">
        <w:rPr>
          <w:bCs/>
          <w:color w:val="000000" w:themeColor="text1"/>
          <w:kern w:val="36"/>
          <w:sz w:val="22"/>
          <w:szCs w:val="22"/>
        </w:rPr>
        <w:t xml:space="preserve"> and</w:t>
      </w:r>
      <w:r w:rsidR="00905024" w:rsidRPr="003272B0">
        <w:rPr>
          <w:bCs/>
          <w:color w:val="000000" w:themeColor="text1"/>
          <w:kern w:val="36"/>
          <w:sz w:val="22"/>
          <w:szCs w:val="22"/>
        </w:rPr>
        <w:t xml:space="preserve"> </w:t>
      </w:r>
      <w:r w:rsidR="00EC50DF" w:rsidRPr="003272B0">
        <w:rPr>
          <w:bCs/>
          <w:color w:val="000000" w:themeColor="text1"/>
          <w:kern w:val="36"/>
          <w:sz w:val="22"/>
          <w:szCs w:val="22"/>
        </w:rPr>
        <w:t>harassment and violence prevention</w:t>
      </w:r>
      <w:r w:rsidR="00F56A47" w:rsidRPr="003272B0">
        <w:rPr>
          <w:bCs/>
          <w:color w:val="000000" w:themeColor="text1"/>
          <w:kern w:val="36"/>
          <w:sz w:val="22"/>
          <w:szCs w:val="22"/>
        </w:rPr>
        <w:t xml:space="preserve">. Due to the minimum hours of rest for seafarers in Canada is lower </w:t>
      </w:r>
      <w:r w:rsidR="00F56A47" w:rsidRPr="003272B0">
        <w:rPr>
          <w:bCs/>
          <w:color w:val="000000" w:themeColor="text1"/>
          <w:kern w:val="36"/>
          <w:sz w:val="22"/>
          <w:szCs w:val="22"/>
        </w:rPr>
        <w:lastRenderedPageBreak/>
        <w:t xml:space="preserve">compared to international and European standards, plus the fact that the Canadian coastal short-sea shipping involves intensive operation in locks, canals, and narrow waterway, fatigue is a huge challenge for Canadian workers at sea. In addition, the increase of </w:t>
      </w:r>
      <w:r w:rsidR="0021683C" w:rsidRPr="003272B0">
        <w:rPr>
          <w:bCs/>
          <w:color w:val="000000" w:themeColor="text1"/>
          <w:kern w:val="36"/>
          <w:sz w:val="22"/>
          <w:szCs w:val="22"/>
        </w:rPr>
        <w:t>polar maritime activities in low temperature and under continuous icebreaking noise, may exacerbate the fatigue level experienced by Canadian marine workers. Fishing harvesters’ fatigue issue has not been properly addressed in the current health and safety law, and seafarers’ fatigue is not sufficiently addressed</w:t>
      </w:r>
      <w:r w:rsidR="004E78BF" w:rsidRPr="003272B0">
        <w:rPr>
          <w:bCs/>
          <w:color w:val="000000" w:themeColor="text1"/>
          <w:kern w:val="36"/>
          <w:sz w:val="22"/>
          <w:szCs w:val="22"/>
        </w:rPr>
        <w:t xml:space="preserve">. Both areas need extra regulatory efforts to ensure Canadian marine workers </w:t>
      </w:r>
      <w:r w:rsidR="001E2E93" w:rsidRPr="003272B0">
        <w:rPr>
          <w:bCs/>
          <w:color w:val="000000" w:themeColor="text1"/>
          <w:kern w:val="36"/>
          <w:sz w:val="22"/>
          <w:szCs w:val="22"/>
        </w:rPr>
        <w:t xml:space="preserve">are well-protected from fatigue-related accidents at sea. </w:t>
      </w:r>
      <w:r w:rsidR="00F56A47" w:rsidRPr="003272B0">
        <w:rPr>
          <w:bCs/>
          <w:color w:val="000000" w:themeColor="text1"/>
          <w:kern w:val="36"/>
          <w:sz w:val="22"/>
          <w:szCs w:val="22"/>
        </w:rPr>
        <w:t xml:space="preserve"> </w:t>
      </w:r>
      <w:r w:rsidR="004508AF" w:rsidRPr="003272B0">
        <w:rPr>
          <w:bCs/>
          <w:color w:val="000000" w:themeColor="text1"/>
          <w:kern w:val="36"/>
          <w:sz w:val="22"/>
          <w:szCs w:val="22"/>
        </w:rPr>
        <w:t xml:space="preserve">In October 2018, </w:t>
      </w:r>
      <w:r w:rsidR="005E4BC3" w:rsidRPr="003272B0">
        <w:rPr>
          <w:bCs/>
          <w:color w:val="000000" w:themeColor="text1"/>
          <w:kern w:val="36"/>
          <w:sz w:val="22"/>
          <w:szCs w:val="22"/>
        </w:rPr>
        <w:t xml:space="preserve">the Bill C-65, the federal anti-harassment and violence legislation </w:t>
      </w:r>
      <w:r w:rsidR="00747DB3" w:rsidRPr="003272B0">
        <w:rPr>
          <w:bCs/>
          <w:color w:val="000000" w:themeColor="text1"/>
          <w:kern w:val="36"/>
          <w:sz w:val="22"/>
          <w:szCs w:val="22"/>
        </w:rPr>
        <w:t xml:space="preserve">received Royal Consent, which aims to protect workers from harassment and violence in federal regulated </w:t>
      </w:r>
      <w:r w:rsidR="008467D0" w:rsidRPr="003272B0">
        <w:rPr>
          <w:bCs/>
          <w:color w:val="000000" w:themeColor="text1"/>
          <w:kern w:val="36"/>
          <w:sz w:val="22"/>
          <w:szCs w:val="22"/>
        </w:rPr>
        <w:t>workplaces, and ships are not exception</w:t>
      </w:r>
      <w:r w:rsidR="00826D6E" w:rsidRPr="003272B0">
        <w:rPr>
          <w:bCs/>
          <w:color w:val="000000" w:themeColor="text1"/>
          <w:kern w:val="36"/>
          <w:sz w:val="22"/>
          <w:szCs w:val="22"/>
        </w:rPr>
        <w:t xml:space="preserve">. </w:t>
      </w:r>
    </w:p>
    <w:p w14:paraId="0C126FF1" w14:textId="75CD9F64" w:rsidR="00DF5AD7" w:rsidRPr="003272B0" w:rsidRDefault="0013362C" w:rsidP="00284442">
      <w:pPr>
        <w:spacing w:line="480" w:lineRule="auto"/>
        <w:ind w:firstLine="720"/>
        <w:outlineLvl w:val="0"/>
        <w:rPr>
          <w:bCs/>
          <w:color w:val="000000" w:themeColor="text1"/>
          <w:kern w:val="36"/>
          <w:sz w:val="22"/>
          <w:szCs w:val="22"/>
        </w:rPr>
      </w:pPr>
      <w:r w:rsidRPr="003272B0">
        <w:rPr>
          <w:bCs/>
          <w:color w:val="000000" w:themeColor="text1"/>
          <w:kern w:val="36"/>
          <w:sz w:val="22"/>
          <w:szCs w:val="22"/>
        </w:rPr>
        <w:t xml:space="preserve">In the current </w:t>
      </w:r>
      <w:r w:rsidR="008058BC" w:rsidRPr="003272B0">
        <w:rPr>
          <w:bCs/>
          <w:color w:val="000000" w:themeColor="text1"/>
          <w:kern w:val="36"/>
          <w:sz w:val="22"/>
          <w:szCs w:val="22"/>
        </w:rPr>
        <w:t xml:space="preserve">Canadian </w:t>
      </w:r>
      <w:r w:rsidRPr="003272B0">
        <w:rPr>
          <w:bCs/>
          <w:color w:val="000000" w:themeColor="text1"/>
          <w:kern w:val="36"/>
          <w:sz w:val="22"/>
          <w:szCs w:val="22"/>
        </w:rPr>
        <w:t xml:space="preserve">marine health and safety </w:t>
      </w:r>
      <w:r w:rsidR="003D2B30" w:rsidRPr="003272B0">
        <w:rPr>
          <w:bCs/>
          <w:color w:val="000000" w:themeColor="text1"/>
          <w:kern w:val="36"/>
          <w:sz w:val="22"/>
          <w:szCs w:val="22"/>
        </w:rPr>
        <w:t xml:space="preserve">legal system, workers on fishing vessels are subject to </w:t>
      </w:r>
      <w:r w:rsidR="00352CE6" w:rsidRPr="003272B0">
        <w:rPr>
          <w:bCs/>
          <w:color w:val="000000" w:themeColor="text1"/>
          <w:kern w:val="36"/>
          <w:sz w:val="22"/>
          <w:szCs w:val="22"/>
        </w:rPr>
        <w:t xml:space="preserve">provincial regulations. </w:t>
      </w:r>
      <w:r w:rsidR="006F48BF" w:rsidRPr="003272B0">
        <w:rPr>
          <w:bCs/>
          <w:color w:val="000000" w:themeColor="text1"/>
          <w:kern w:val="36"/>
          <w:sz w:val="22"/>
          <w:szCs w:val="22"/>
        </w:rPr>
        <w:t>Different provinces have developed occupational health and safety regulations</w:t>
      </w:r>
      <w:r w:rsidR="00FA0096" w:rsidRPr="003272B0">
        <w:rPr>
          <w:bCs/>
          <w:color w:val="000000" w:themeColor="text1"/>
          <w:kern w:val="36"/>
          <w:sz w:val="22"/>
          <w:szCs w:val="22"/>
        </w:rPr>
        <w:t xml:space="preserve"> </w:t>
      </w:r>
      <w:r w:rsidR="00C20AEB" w:rsidRPr="003272B0">
        <w:rPr>
          <w:bCs/>
          <w:color w:val="000000" w:themeColor="text1"/>
          <w:kern w:val="36"/>
          <w:sz w:val="22"/>
          <w:szCs w:val="22"/>
        </w:rPr>
        <w:t>to prevent workplace violence and harassment.</w:t>
      </w:r>
      <w:r w:rsidR="003C6B95" w:rsidRPr="003272B0">
        <w:rPr>
          <w:rStyle w:val="FootnoteReference"/>
          <w:bCs/>
          <w:color w:val="000000" w:themeColor="text1"/>
          <w:kern w:val="36"/>
          <w:sz w:val="22"/>
          <w:szCs w:val="22"/>
        </w:rPr>
        <w:footnoteReference w:id="53"/>
      </w:r>
      <w:r w:rsidR="006D09A8" w:rsidRPr="003272B0">
        <w:rPr>
          <w:bCs/>
          <w:color w:val="000000" w:themeColor="text1"/>
          <w:kern w:val="36"/>
          <w:sz w:val="22"/>
          <w:szCs w:val="22"/>
        </w:rPr>
        <w:t xml:space="preserve"> </w:t>
      </w:r>
      <w:r w:rsidR="00356032" w:rsidRPr="003272B0">
        <w:rPr>
          <w:bCs/>
          <w:color w:val="000000" w:themeColor="text1"/>
          <w:kern w:val="36"/>
          <w:sz w:val="22"/>
          <w:szCs w:val="22"/>
        </w:rPr>
        <w:t xml:space="preserve"> </w:t>
      </w:r>
      <w:r w:rsidR="00642D40" w:rsidRPr="003272B0">
        <w:rPr>
          <w:bCs/>
          <w:color w:val="000000" w:themeColor="text1"/>
          <w:kern w:val="36"/>
          <w:sz w:val="22"/>
          <w:szCs w:val="22"/>
        </w:rPr>
        <w:t>Different levels of obligations</w:t>
      </w:r>
      <w:r w:rsidR="000218D3" w:rsidRPr="003272B0">
        <w:rPr>
          <w:bCs/>
          <w:color w:val="000000" w:themeColor="text1"/>
          <w:kern w:val="36"/>
          <w:sz w:val="22"/>
          <w:szCs w:val="22"/>
        </w:rPr>
        <w:t xml:space="preserve"> to prevent workplace violence and harassment</w:t>
      </w:r>
      <w:r w:rsidR="00642D40" w:rsidRPr="003272B0">
        <w:rPr>
          <w:bCs/>
          <w:color w:val="000000" w:themeColor="text1"/>
          <w:kern w:val="36"/>
          <w:sz w:val="22"/>
          <w:szCs w:val="22"/>
        </w:rPr>
        <w:t xml:space="preserve"> </w:t>
      </w:r>
      <w:r w:rsidR="003A7EBF" w:rsidRPr="003272B0">
        <w:rPr>
          <w:bCs/>
          <w:color w:val="000000" w:themeColor="text1"/>
          <w:kern w:val="36"/>
          <w:sz w:val="22"/>
          <w:szCs w:val="22"/>
        </w:rPr>
        <w:t xml:space="preserve">are imposed </w:t>
      </w:r>
      <w:r w:rsidR="000218D3" w:rsidRPr="003272B0">
        <w:rPr>
          <w:bCs/>
          <w:color w:val="000000" w:themeColor="text1"/>
          <w:kern w:val="36"/>
          <w:sz w:val="22"/>
          <w:szCs w:val="22"/>
        </w:rPr>
        <w:t xml:space="preserve">to employers. </w:t>
      </w:r>
      <w:r w:rsidR="003F2D41" w:rsidRPr="003272B0">
        <w:rPr>
          <w:bCs/>
          <w:color w:val="000000" w:themeColor="text1"/>
          <w:kern w:val="36"/>
          <w:sz w:val="22"/>
          <w:szCs w:val="22"/>
        </w:rPr>
        <w:t xml:space="preserve">For example, in </w:t>
      </w:r>
      <w:r w:rsidR="00424F7C" w:rsidRPr="003272B0">
        <w:rPr>
          <w:bCs/>
          <w:color w:val="000000" w:themeColor="text1"/>
          <w:kern w:val="36"/>
          <w:sz w:val="22"/>
          <w:szCs w:val="22"/>
        </w:rPr>
        <w:t xml:space="preserve">Nova Scotia, </w:t>
      </w:r>
      <w:r w:rsidR="00A46339" w:rsidRPr="003272B0">
        <w:rPr>
          <w:bCs/>
          <w:color w:val="000000" w:themeColor="text1"/>
          <w:kern w:val="36"/>
          <w:sz w:val="22"/>
          <w:szCs w:val="22"/>
        </w:rPr>
        <w:t>once a workplace violence/harassment in</w:t>
      </w:r>
      <w:r w:rsidR="0023706F" w:rsidRPr="003272B0">
        <w:rPr>
          <w:bCs/>
          <w:color w:val="000000" w:themeColor="text1"/>
          <w:kern w:val="36"/>
          <w:sz w:val="22"/>
          <w:szCs w:val="22"/>
        </w:rPr>
        <w:t xml:space="preserve">cident occurs, “an employer must ensure that incidents of violence in a workplace are documented and promptly investigated to </w:t>
      </w:r>
      <w:r w:rsidR="003009F5" w:rsidRPr="003272B0">
        <w:rPr>
          <w:bCs/>
          <w:color w:val="000000" w:themeColor="text1"/>
          <w:kern w:val="36"/>
          <w:sz w:val="22"/>
          <w:szCs w:val="22"/>
        </w:rPr>
        <w:t>determine their causes and the actions needed to prevent reoccurrence.</w:t>
      </w:r>
      <w:r w:rsidR="00DD0D90" w:rsidRPr="003272B0">
        <w:rPr>
          <w:bCs/>
          <w:color w:val="000000" w:themeColor="text1"/>
          <w:kern w:val="36"/>
          <w:sz w:val="22"/>
          <w:szCs w:val="22"/>
        </w:rPr>
        <w:t>”</w:t>
      </w:r>
      <w:r w:rsidR="003009F5" w:rsidRPr="003272B0">
        <w:rPr>
          <w:rStyle w:val="FootnoteReference"/>
          <w:bCs/>
          <w:color w:val="000000" w:themeColor="text1"/>
          <w:kern w:val="36"/>
          <w:sz w:val="22"/>
          <w:szCs w:val="22"/>
        </w:rPr>
        <w:footnoteReference w:id="54"/>
      </w:r>
      <w:r w:rsidR="006266EE" w:rsidRPr="003272B0">
        <w:rPr>
          <w:bCs/>
          <w:color w:val="000000" w:themeColor="text1"/>
          <w:kern w:val="36"/>
          <w:sz w:val="22"/>
          <w:szCs w:val="22"/>
        </w:rPr>
        <w:t xml:space="preserve"> In Newfoundland and Labrador, </w:t>
      </w:r>
      <w:r w:rsidR="0086545A" w:rsidRPr="003272B0">
        <w:rPr>
          <w:bCs/>
          <w:color w:val="000000" w:themeColor="text1"/>
          <w:kern w:val="36"/>
          <w:sz w:val="22"/>
          <w:szCs w:val="22"/>
        </w:rPr>
        <w:t xml:space="preserve">in response to a workplace violence/harassment incident, “an employer shall, </w:t>
      </w:r>
      <w:r w:rsidR="0086545A" w:rsidRPr="003272B0">
        <w:rPr>
          <w:bCs/>
          <w:color w:val="000000" w:themeColor="text1"/>
          <w:kern w:val="36"/>
          <w:sz w:val="22"/>
          <w:szCs w:val="22"/>
        </w:rPr>
        <w:lastRenderedPageBreak/>
        <w:t xml:space="preserve">within 3 days after </w:t>
      </w:r>
      <w:r w:rsidR="008F543B" w:rsidRPr="003272B0">
        <w:rPr>
          <w:bCs/>
          <w:color w:val="000000" w:themeColor="text1"/>
          <w:kern w:val="36"/>
          <w:sz w:val="22"/>
          <w:szCs w:val="22"/>
        </w:rPr>
        <w:t>an accident happens to a worker that result in a serious injury to the worker, provide written notices to the minister.</w:t>
      </w:r>
      <w:r w:rsidR="00DD0D90" w:rsidRPr="003272B0">
        <w:rPr>
          <w:bCs/>
          <w:color w:val="000000" w:themeColor="text1"/>
          <w:kern w:val="36"/>
          <w:sz w:val="22"/>
          <w:szCs w:val="22"/>
        </w:rPr>
        <w:t>”</w:t>
      </w:r>
      <w:r w:rsidR="008F543B" w:rsidRPr="003272B0">
        <w:rPr>
          <w:rStyle w:val="FootnoteReference"/>
          <w:bCs/>
          <w:color w:val="000000" w:themeColor="text1"/>
          <w:kern w:val="36"/>
          <w:sz w:val="22"/>
          <w:szCs w:val="22"/>
        </w:rPr>
        <w:footnoteReference w:id="55"/>
      </w:r>
      <w:r w:rsidR="00A4769C" w:rsidRPr="003272B0">
        <w:rPr>
          <w:bCs/>
          <w:color w:val="000000" w:themeColor="text1"/>
          <w:kern w:val="36"/>
          <w:sz w:val="22"/>
          <w:szCs w:val="22"/>
        </w:rPr>
        <w:t xml:space="preserve"> </w:t>
      </w:r>
      <w:r w:rsidR="00250BA7" w:rsidRPr="003272B0">
        <w:rPr>
          <w:bCs/>
          <w:color w:val="000000" w:themeColor="text1"/>
          <w:kern w:val="36"/>
          <w:sz w:val="22"/>
          <w:szCs w:val="22"/>
        </w:rPr>
        <w:t>F</w:t>
      </w:r>
      <w:r w:rsidR="00A4769C" w:rsidRPr="003272B0">
        <w:rPr>
          <w:bCs/>
          <w:color w:val="000000" w:themeColor="text1"/>
          <w:kern w:val="36"/>
          <w:sz w:val="22"/>
          <w:szCs w:val="22"/>
        </w:rPr>
        <w:t>ishing harvesters’ occupational health and safety rights</w:t>
      </w:r>
      <w:r w:rsidR="00250BA7" w:rsidRPr="003272B0">
        <w:rPr>
          <w:bCs/>
          <w:color w:val="000000" w:themeColor="text1"/>
          <w:kern w:val="36"/>
          <w:sz w:val="22"/>
          <w:szCs w:val="22"/>
        </w:rPr>
        <w:t xml:space="preserve"> currently fall under provincial jurisdiction, as a result, any development of the rights</w:t>
      </w:r>
      <w:r w:rsidR="00DF5AD7" w:rsidRPr="003272B0">
        <w:rPr>
          <w:bCs/>
          <w:color w:val="000000" w:themeColor="text1"/>
          <w:kern w:val="36"/>
          <w:sz w:val="22"/>
          <w:szCs w:val="22"/>
        </w:rPr>
        <w:t xml:space="preserve">, including the workplace violence and harassment prevention, </w:t>
      </w:r>
      <w:r w:rsidR="00250BA7" w:rsidRPr="003272B0">
        <w:rPr>
          <w:bCs/>
          <w:color w:val="000000" w:themeColor="text1"/>
          <w:kern w:val="36"/>
          <w:sz w:val="22"/>
          <w:szCs w:val="22"/>
        </w:rPr>
        <w:t xml:space="preserve">may not be consistent </w:t>
      </w:r>
      <w:r w:rsidR="00910A8C" w:rsidRPr="003272B0">
        <w:rPr>
          <w:bCs/>
          <w:color w:val="000000" w:themeColor="text1"/>
          <w:kern w:val="36"/>
          <w:sz w:val="22"/>
          <w:szCs w:val="22"/>
        </w:rPr>
        <w:t xml:space="preserve">and uniformed. This may lead to uneven fields of competition where fishing vessel operator could choose a registration port with a lower health and safety standards in Canada. </w:t>
      </w:r>
    </w:p>
    <w:p w14:paraId="23080909" w14:textId="2DDFCB3B" w:rsidR="00DF5AD7" w:rsidRPr="003272B0" w:rsidRDefault="004B03A7" w:rsidP="002E1843">
      <w:pPr>
        <w:spacing w:line="480" w:lineRule="auto"/>
        <w:ind w:firstLine="720"/>
        <w:outlineLvl w:val="0"/>
        <w:rPr>
          <w:bCs/>
          <w:color w:val="000000" w:themeColor="text1"/>
          <w:kern w:val="36"/>
          <w:sz w:val="22"/>
          <w:szCs w:val="22"/>
        </w:rPr>
      </w:pPr>
      <w:r w:rsidRPr="003272B0">
        <w:rPr>
          <w:bCs/>
          <w:color w:val="000000" w:themeColor="text1"/>
          <w:kern w:val="36"/>
          <w:sz w:val="22"/>
          <w:szCs w:val="22"/>
        </w:rPr>
        <w:t xml:space="preserve">Fourthly, </w:t>
      </w:r>
      <w:r w:rsidR="00327B69" w:rsidRPr="003272B0">
        <w:rPr>
          <w:bCs/>
          <w:color w:val="000000" w:themeColor="text1"/>
          <w:kern w:val="36"/>
          <w:sz w:val="22"/>
          <w:szCs w:val="22"/>
        </w:rPr>
        <w:t>the enforcement of occupational health and safety law needs to be enhanced. T</w:t>
      </w:r>
      <w:r w:rsidR="00B96A71" w:rsidRPr="003272B0">
        <w:rPr>
          <w:bCs/>
          <w:color w:val="000000" w:themeColor="text1"/>
          <w:kern w:val="36"/>
          <w:sz w:val="22"/>
          <w:szCs w:val="22"/>
        </w:rPr>
        <w:t xml:space="preserve">he </w:t>
      </w:r>
      <w:r w:rsidR="009C3C92" w:rsidRPr="003272B0">
        <w:rPr>
          <w:bCs/>
          <w:color w:val="000000" w:themeColor="text1"/>
          <w:kern w:val="36"/>
          <w:sz w:val="22"/>
          <w:szCs w:val="22"/>
        </w:rPr>
        <w:t xml:space="preserve">contemporary occupational health and safety law adopts </w:t>
      </w:r>
      <w:r w:rsidR="00B96A71" w:rsidRPr="003272B0">
        <w:rPr>
          <w:bCs/>
          <w:color w:val="000000" w:themeColor="text1"/>
          <w:kern w:val="36"/>
          <w:sz w:val="22"/>
          <w:szCs w:val="22"/>
        </w:rPr>
        <w:t xml:space="preserve">the </w:t>
      </w:r>
      <w:r w:rsidR="00AA5642" w:rsidRPr="003272B0">
        <w:rPr>
          <w:bCs/>
          <w:color w:val="000000" w:themeColor="text1"/>
          <w:kern w:val="36"/>
          <w:sz w:val="22"/>
          <w:szCs w:val="22"/>
        </w:rPr>
        <w:t xml:space="preserve">internal </w:t>
      </w:r>
      <w:r w:rsidR="009C3C92" w:rsidRPr="003272B0">
        <w:rPr>
          <w:bCs/>
          <w:color w:val="000000" w:themeColor="text1"/>
          <w:kern w:val="36"/>
          <w:sz w:val="22"/>
          <w:szCs w:val="22"/>
        </w:rPr>
        <w:t>responsibility</w:t>
      </w:r>
      <w:r w:rsidR="00AA5642" w:rsidRPr="003272B0">
        <w:rPr>
          <w:bCs/>
          <w:color w:val="000000" w:themeColor="text1"/>
          <w:kern w:val="36"/>
          <w:sz w:val="22"/>
          <w:szCs w:val="22"/>
        </w:rPr>
        <w:t xml:space="preserve"> system</w:t>
      </w:r>
      <w:r w:rsidR="00394D79" w:rsidRPr="003272B0">
        <w:rPr>
          <w:bCs/>
          <w:color w:val="000000" w:themeColor="text1"/>
          <w:kern w:val="36"/>
          <w:sz w:val="22"/>
          <w:szCs w:val="22"/>
        </w:rPr>
        <w:t xml:space="preserve">, </w:t>
      </w:r>
      <w:r w:rsidR="00DB24F5" w:rsidRPr="003272B0">
        <w:rPr>
          <w:bCs/>
          <w:color w:val="000000" w:themeColor="text1"/>
          <w:kern w:val="36"/>
          <w:sz w:val="22"/>
          <w:szCs w:val="22"/>
        </w:rPr>
        <w:t xml:space="preserve">which aims to promote the participation of </w:t>
      </w:r>
      <w:r w:rsidR="00FE7994" w:rsidRPr="003272B0">
        <w:rPr>
          <w:bCs/>
          <w:color w:val="000000" w:themeColor="text1"/>
          <w:kern w:val="36"/>
          <w:sz w:val="22"/>
          <w:szCs w:val="22"/>
        </w:rPr>
        <w:t xml:space="preserve">employers and workers </w:t>
      </w:r>
      <w:r w:rsidR="00ED7EB6" w:rsidRPr="003272B0">
        <w:rPr>
          <w:bCs/>
          <w:color w:val="000000" w:themeColor="text1"/>
          <w:kern w:val="36"/>
          <w:sz w:val="22"/>
          <w:szCs w:val="22"/>
        </w:rPr>
        <w:t xml:space="preserve">and achieve certain level self-governance </w:t>
      </w:r>
      <w:r w:rsidR="00AF3886" w:rsidRPr="003272B0">
        <w:rPr>
          <w:bCs/>
          <w:color w:val="000000" w:themeColor="text1"/>
          <w:kern w:val="36"/>
          <w:sz w:val="22"/>
          <w:szCs w:val="22"/>
        </w:rPr>
        <w:t xml:space="preserve">in safety. </w:t>
      </w:r>
      <w:r w:rsidR="00EA34A9" w:rsidRPr="003272B0">
        <w:rPr>
          <w:bCs/>
          <w:color w:val="000000" w:themeColor="text1"/>
          <w:kern w:val="36"/>
          <w:sz w:val="22"/>
          <w:szCs w:val="22"/>
        </w:rPr>
        <w:t xml:space="preserve">But when it applies to the marine sector, </w:t>
      </w:r>
      <w:r w:rsidR="00A8427E" w:rsidRPr="003272B0">
        <w:rPr>
          <w:bCs/>
          <w:color w:val="000000" w:themeColor="text1"/>
          <w:kern w:val="36"/>
          <w:sz w:val="22"/>
          <w:szCs w:val="22"/>
        </w:rPr>
        <w:t xml:space="preserve">the </w:t>
      </w:r>
      <w:r w:rsidR="001F6252" w:rsidRPr="003272B0">
        <w:rPr>
          <w:bCs/>
          <w:color w:val="000000" w:themeColor="text1"/>
          <w:kern w:val="36"/>
          <w:sz w:val="22"/>
          <w:szCs w:val="22"/>
        </w:rPr>
        <w:t xml:space="preserve">impact of </w:t>
      </w:r>
      <w:r w:rsidR="00BF189E" w:rsidRPr="003272B0">
        <w:rPr>
          <w:bCs/>
          <w:color w:val="000000" w:themeColor="text1"/>
          <w:kern w:val="36"/>
          <w:sz w:val="22"/>
          <w:szCs w:val="22"/>
        </w:rPr>
        <w:t>ships</w:t>
      </w:r>
      <w:r w:rsidR="001F6252" w:rsidRPr="003272B0">
        <w:rPr>
          <w:bCs/>
          <w:color w:val="000000" w:themeColor="text1"/>
          <w:kern w:val="36"/>
          <w:sz w:val="22"/>
          <w:szCs w:val="22"/>
        </w:rPr>
        <w:t xml:space="preserve"> as total institutions </w:t>
      </w:r>
      <w:r w:rsidR="00BF189E" w:rsidRPr="003272B0">
        <w:rPr>
          <w:bCs/>
          <w:color w:val="000000" w:themeColor="text1"/>
          <w:kern w:val="36"/>
          <w:sz w:val="22"/>
          <w:szCs w:val="22"/>
        </w:rPr>
        <w:t xml:space="preserve">cannot be ignored. </w:t>
      </w:r>
      <w:r w:rsidR="00FB6D45" w:rsidRPr="003272B0">
        <w:rPr>
          <w:color w:val="000000" w:themeColor="text1"/>
          <w:sz w:val="22"/>
          <w:szCs w:val="22"/>
        </w:rPr>
        <w:t xml:space="preserve">Such institutions are purportedly established to pursue some technical task and are justified only on these instrumental grounds. Similar to company towns and operations where workers stay in work camps, one of the </w:t>
      </w:r>
      <w:proofErr w:type="spellStart"/>
      <w:r w:rsidR="00FB6D45" w:rsidRPr="003272B0">
        <w:rPr>
          <w:color w:val="000000" w:themeColor="text1"/>
          <w:sz w:val="22"/>
          <w:szCs w:val="22"/>
        </w:rPr>
        <w:t>totalistic</w:t>
      </w:r>
      <w:proofErr w:type="spellEnd"/>
      <w:r w:rsidR="00FB6D45" w:rsidRPr="003272B0">
        <w:rPr>
          <w:color w:val="000000" w:themeColor="text1"/>
          <w:sz w:val="22"/>
          <w:szCs w:val="22"/>
        </w:rPr>
        <w:t xml:space="preserve"> features of ships is that work, rest, and entertainment are all under a single authority on board. The ship operator controls the work schedules and rest hours as well as food choices, accommodations, and entertainment facilities on board. As a result, while working, the safety, health, and wellbeing of all aspects of seafarers are largely subject to the management practices as well as the hierarchical control on board.</w:t>
      </w:r>
      <w:r w:rsidR="00D06F89" w:rsidRPr="003272B0">
        <w:rPr>
          <w:rStyle w:val="FootnoteReference"/>
          <w:color w:val="000000" w:themeColor="text1"/>
          <w:sz w:val="22"/>
          <w:szCs w:val="22"/>
        </w:rPr>
        <w:footnoteReference w:id="56"/>
      </w:r>
      <w:r w:rsidR="00913C8E" w:rsidRPr="003272B0">
        <w:rPr>
          <w:color w:val="000000" w:themeColor="text1"/>
          <w:sz w:val="22"/>
          <w:szCs w:val="22"/>
        </w:rPr>
        <w:t xml:space="preserve"> While</w:t>
      </w:r>
      <w:r w:rsidR="00913C8E" w:rsidRPr="003272B0">
        <w:rPr>
          <w:bCs/>
          <w:color w:val="000000" w:themeColor="text1"/>
          <w:kern w:val="36"/>
          <w:sz w:val="22"/>
          <w:szCs w:val="22"/>
        </w:rPr>
        <w:t xml:space="preserve"> t</w:t>
      </w:r>
      <w:r w:rsidR="00AF3886" w:rsidRPr="003272B0">
        <w:rPr>
          <w:bCs/>
          <w:color w:val="000000" w:themeColor="text1"/>
          <w:kern w:val="36"/>
          <w:sz w:val="22"/>
          <w:szCs w:val="22"/>
        </w:rPr>
        <w:t xml:space="preserve">he key of this system is to empower workers, therefore, safety representative, workplace health and safety committee and joint health and safety policy committee are </w:t>
      </w:r>
      <w:r w:rsidR="00913C8E" w:rsidRPr="003272B0">
        <w:rPr>
          <w:bCs/>
          <w:color w:val="000000" w:themeColor="text1"/>
          <w:kern w:val="36"/>
          <w:sz w:val="22"/>
          <w:szCs w:val="22"/>
        </w:rPr>
        <w:t xml:space="preserve">very important mechanisms to empower </w:t>
      </w:r>
      <w:r w:rsidR="00BE1D76" w:rsidRPr="003272B0">
        <w:rPr>
          <w:bCs/>
          <w:color w:val="000000" w:themeColor="text1"/>
          <w:kern w:val="36"/>
          <w:sz w:val="22"/>
          <w:szCs w:val="22"/>
        </w:rPr>
        <w:t xml:space="preserve">the workers at workplaces. With the legal exemption of workplace health and safety </w:t>
      </w:r>
      <w:r w:rsidR="00BE1D76" w:rsidRPr="003272B0">
        <w:rPr>
          <w:bCs/>
          <w:color w:val="000000" w:themeColor="text1"/>
          <w:kern w:val="36"/>
          <w:sz w:val="22"/>
          <w:szCs w:val="22"/>
        </w:rPr>
        <w:lastRenderedPageBreak/>
        <w:t xml:space="preserve">committee as per the </w:t>
      </w:r>
      <w:r w:rsidR="003A09F9" w:rsidRPr="003272B0">
        <w:rPr>
          <w:bCs/>
          <w:color w:val="000000" w:themeColor="text1"/>
          <w:kern w:val="36"/>
          <w:sz w:val="22"/>
          <w:szCs w:val="22"/>
        </w:rPr>
        <w:t>136 (1) of the Canada Labour Code,</w:t>
      </w:r>
      <w:r w:rsidR="00027241" w:rsidRPr="003272B0">
        <w:rPr>
          <w:bCs/>
          <w:color w:val="000000" w:themeColor="text1"/>
          <w:kern w:val="36"/>
          <w:sz w:val="22"/>
          <w:szCs w:val="22"/>
        </w:rPr>
        <w:t xml:space="preserve"> in</w:t>
      </w:r>
      <w:r w:rsidR="003A09F9" w:rsidRPr="003272B0">
        <w:rPr>
          <w:bCs/>
          <w:color w:val="000000" w:themeColor="text1"/>
          <w:kern w:val="36"/>
          <w:sz w:val="22"/>
          <w:szCs w:val="22"/>
        </w:rPr>
        <w:t xml:space="preserve"> </w:t>
      </w:r>
      <w:r w:rsidR="00BE1D76" w:rsidRPr="003272B0">
        <w:rPr>
          <w:bCs/>
          <w:color w:val="000000" w:themeColor="text1"/>
          <w:kern w:val="36"/>
          <w:sz w:val="22"/>
          <w:szCs w:val="22"/>
        </w:rPr>
        <w:t xml:space="preserve">the enforcement of </w:t>
      </w:r>
      <w:r w:rsidR="003A09F9" w:rsidRPr="003272B0">
        <w:rPr>
          <w:bCs/>
          <w:color w:val="000000" w:themeColor="text1"/>
          <w:kern w:val="36"/>
          <w:sz w:val="22"/>
          <w:szCs w:val="22"/>
        </w:rPr>
        <w:t>occupational health and safety law in the marine sector</w:t>
      </w:r>
      <w:r w:rsidR="00A9046C" w:rsidRPr="003272B0">
        <w:rPr>
          <w:bCs/>
          <w:color w:val="000000" w:themeColor="text1"/>
          <w:kern w:val="36"/>
          <w:sz w:val="22"/>
          <w:szCs w:val="22"/>
        </w:rPr>
        <w:t xml:space="preserve">, </w:t>
      </w:r>
      <w:r w:rsidR="00E5208E" w:rsidRPr="003272B0">
        <w:rPr>
          <w:bCs/>
          <w:color w:val="000000" w:themeColor="text1"/>
          <w:kern w:val="36"/>
          <w:sz w:val="22"/>
          <w:szCs w:val="22"/>
        </w:rPr>
        <w:t xml:space="preserve">the power of workers to participate in safety management is </w:t>
      </w:r>
      <w:r w:rsidR="00F415EB" w:rsidRPr="003272B0">
        <w:rPr>
          <w:bCs/>
          <w:color w:val="000000" w:themeColor="text1"/>
          <w:kern w:val="36"/>
          <w:sz w:val="22"/>
          <w:szCs w:val="22"/>
        </w:rPr>
        <w:t>more restricted</w:t>
      </w:r>
      <w:r w:rsidR="00DB2822" w:rsidRPr="003272B0">
        <w:rPr>
          <w:bCs/>
          <w:color w:val="000000" w:themeColor="text1"/>
          <w:kern w:val="36"/>
          <w:sz w:val="22"/>
          <w:szCs w:val="22"/>
        </w:rPr>
        <w:t xml:space="preserve"> on ship as a total institution.</w:t>
      </w:r>
      <w:r w:rsidR="00327B69" w:rsidRPr="003272B0">
        <w:rPr>
          <w:bCs/>
          <w:color w:val="000000" w:themeColor="text1"/>
          <w:kern w:val="36"/>
          <w:sz w:val="22"/>
          <w:szCs w:val="22"/>
        </w:rPr>
        <w:t xml:space="preserve"> Therefore, to </w:t>
      </w:r>
      <w:r w:rsidR="00293077" w:rsidRPr="003272B0">
        <w:rPr>
          <w:bCs/>
          <w:color w:val="000000" w:themeColor="text1"/>
          <w:kern w:val="36"/>
          <w:sz w:val="22"/>
          <w:szCs w:val="22"/>
        </w:rPr>
        <w:t xml:space="preserve">enhance </w:t>
      </w:r>
      <w:r w:rsidR="000A1B7E" w:rsidRPr="003272B0">
        <w:rPr>
          <w:bCs/>
          <w:color w:val="000000" w:themeColor="text1"/>
          <w:kern w:val="36"/>
          <w:sz w:val="22"/>
          <w:szCs w:val="22"/>
        </w:rPr>
        <w:t xml:space="preserve">the enforcement </w:t>
      </w:r>
      <w:r w:rsidR="0077021F" w:rsidRPr="003272B0">
        <w:rPr>
          <w:bCs/>
          <w:color w:val="000000" w:themeColor="text1"/>
          <w:kern w:val="36"/>
          <w:sz w:val="22"/>
          <w:szCs w:val="22"/>
        </w:rPr>
        <w:t xml:space="preserve">mechanism of occupational health and safety law </w:t>
      </w:r>
      <w:r w:rsidR="007C6F0D" w:rsidRPr="003272B0">
        <w:rPr>
          <w:bCs/>
          <w:color w:val="000000" w:themeColor="text1"/>
          <w:kern w:val="36"/>
          <w:sz w:val="22"/>
          <w:szCs w:val="22"/>
        </w:rPr>
        <w:t xml:space="preserve">in the marine sector is also necessary. </w:t>
      </w:r>
      <w:r w:rsidR="003E5B22" w:rsidRPr="003272B0">
        <w:rPr>
          <w:rFonts w:hint="eastAsia"/>
          <w:bCs/>
          <w:color w:val="000000" w:themeColor="text1"/>
          <w:kern w:val="36"/>
          <w:sz w:val="22"/>
          <w:szCs w:val="22"/>
        </w:rPr>
        <w:t>The</w:t>
      </w:r>
      <w:r w:rsidR="003E5B22" w:rsidRPr="003272B0">
        <w:rPr>
          <w:bCs/>
          <w:color w:val="000000" w:themeColor="text1"/>
          <w:kern w:val="36"/>
          <w:sz w:val="22"/>
          <w:szCs w:val="22"/>
        </w:rPr>
        <w:t xml:space="preserve"> Ministry of L</w:t>
      </w:r>
      <w:r w:rsidR="00A1798F" w:rsidRPr="003272B0">
        <w:rPr>
          <w:bCs/>
          <w:color w:val="000000" w:themeColor="text1"/>
          <w:kern w:val="36"/>
          <w:sz w:val="22"/>
          <w:szCs w:val="22"/>
        </w:rPr>
        <w:t xml:space="preserve">abour plans to amend </w:t>
      </w:r>
      <w:r w:rsidR="001D68B2" w:rsidRPr="003272B0">
        <w:rPr>
          <w:bCs/>
          <w:color w:val="000000" w:themeColor="text1"/>
          <w:kern w:val="36"/>
          <w:sz w:val="22"/>
          <w:szCs w:val="22"/>
        </w:rPr>
        <w:t xml:space="preserve">the Canada Labour Code to create a new Part IV Administrative Monetary Penalties to </w:t>
      </w:r>
      <w:r w:rsidR="003C2B1E" w:rsidRPr="003272B0">
        <w:rPr>
          <w:bCs/>
          <w:color w:val="000000" w:themeColor="text1"/>
          <w:kern w:val="36"/>
          <w:sz w:val="22"/>
          <w:szCs w:val="22"/>
        </w:rPr>
        <w:t xml:space="preserve">strengthen the enforcement of occupational health and safety standards in the federally regulated industries, including shipping. </w:t>
      </w:r>
      <w:r w:rsidR="00EA299D" w:rsidRPr="003272B0">
        <w:rPr>
          <w:bCs/>
          <w:color w:val="000000" w:themeColor="text1"/>
          <w:kern w:val="36"/>
          <w:sz w:val="22"/>
          <w:szCs w:val="22"/>
        </w:rPr>
        <w:t xml:space="preserve">This legislative plan </w:t>
      </w:r>
      <w:r w:rsidR="004E1B88" w:rsidRPr="003272B0">
        <w:rPr>
          <w:bCs/>
          <w:color w:val="000000" w:themeColor="text1"/>
          <w:kern w:val="36"/>
          <w:sz w:val="22"/>
          <w:szCs w:val="22"/>
        </w:rPr>
        <w:t>aims to introduce a</w:t>
      </w:r>
      <w:r w:rsidR="003946E2" w:rsidRPr="003272B0">
        <w:rPr>
          <w:bCs/>
          <w:color w:val="000000" w:themeColor="text1"/>
          <w:kern w:val="36"/>
          <w:sz w:val="22"/>
          <w:szCs w:val="22"/>
        </w:rPr>
        <w:t>n up to CAD 250,000</w:t>
      </w:r>
      <w:r w:rsidR="005E38CE" w:rsidRPr="003272B0">
        <w:rPr>
          <w:bCs/>
          <w:color w:val="000000" w:themeColor="text1"/>
          <w:kern w:val="36"/>
          <w:sz w:val="22"/>
          <w:szCs w:val="22"/>
        </w:rPr>
        <w:t xml:space="preserve"> </w:t>
      </w:r>
      <w:r w:rsidR="0094210F" w:rsidRPr="003272B0">
        <w:rPr>
          <w:bCs/>
          <w:color w:val="000000" w:themeColor="text1"/>
          <w:kern w:val="36"/>
          <w:sz w:val="22"/>
          <w:szCs w:val="22"/>
        </w:rPr>
        <w:t>penalty associated with the violations of occupational health and safety standards</w:t>
      </w:r>
      <w:r w:rsidR="00374E8B" w:rsidRPr="003272B0">
        <w:rPr>
          <w:rStyle w:val="FootnoteReference"/>
          <w:bCs/>
          <w:color w:val="000000" w:themeColor="text1"/>
          <w:kern w:val="36"/>
          <w:sz w:val="22"/>
          <w:szCs w:val="22"/>
        </w:rPr>
        <w:footnoteReference w:id="57"/>
      </w:r>
      <w:r w:rsidR="0094210F" w:rsidRPr="003272B0">
        <w:rPr>
          <w:bCs/>
          <w:color w:val="000000" w:themeColor="text1"/>
          <w:kern w:val="36"/>
          <w:sz w:val="22"/>
          <w:szCs w:val="22"/>
        </w:rPr>
        <w:t xml:space="preserve">. </w:t>
      </w:r>
      <w:r w:rsidR="00674B30" w:rsidRPr="003272B0">
        <w:rPr>
          <w:bCs/>
          <w:color w:val="000000" w:themeColor="text1"/>
          <w:kern w:val="36"/>
          <w:sz w:val="22"/>
          <w:szCs w:val="22"/>
        </w:rPr>
        <w:t xml:space="preserve">This change, to some extent, may overcome the weakness of current internal </w:t>
      </w:r>
      <w:r w:rsidR="007D26BE" w:rsidRPr="003272B0">
        <w:rPr>
          <w:bCs/>
          <w:color w:val="000000" w:themeColor="text1"/>
          <w:kern w:val="36"/>
          <w:sz w:val="22"/>
          <w:szCs w:val="22"/>
        </w:rPr>
        <w:t>responsibility system. For maritime sector, this penalty system may promote employers’ compliance with occupational health and safety standards</w:t>
      </w:r>
      <w:r w:rsidR="00346ED9" w:rsidRPr="003272B0">
        <w:rPr>
          <w:bCs/>
          <w:color w:val="000000" w:themeColor="text1"/>
          <w:kern w:val="36"/>
          <w:sz w:val="22"/>
          <w:szCs w:val="22"/>
        </w:rPr>
        <w:t xml:space="preserve">, considering the fact that seafarers’ right to participate health and safety management in the internal responsibility system is weaker compared to land-based workers. </w:t>
      </w:r>
    </w:p>
    <w:p w14:paraId="4DA6BC90" w14:textId="109CB74F" w:rsidR="00DA33AE" w:rsidRPr="003272B0" w:rsidRDefault="00DA33AE" w:rsidP="002E1843">
      <w:pPr>
        <w:spacing w:line="480" w:lineRule="auto"/>
        <w:ind w:firstLine="720"/>
        <w:outlineLvl w:val="0"/>
        <w:rPr>
          <w:bCs/>
          <w:color w:val="000000" w:themeColor="text1"/>
          <w:kern w:val="36"/>
          <w:sz w:val="22"/>
          <w:szCs w:val="22"/>
        </w:rPr>
      </w:pPr>
    </w:p>
    <w:p w14:paraId="7C3F8F84" w14:textId="00869D56" w:rsidR="001D284A" w:rsidRPr="003272B0" w:rsidRDefault="00174889" w:rsidP="002E1843">
      <w:pPr>
        <w:spacing w:line="480" w:lineRule="auto"/>
        <w:rPr>
          <w:b/>
          <w:color w:val="000000" w:themeColor="text1"/>
          <w:sz w:val="22"/>
          <w:szCs w:val="22"/>
        </w:rPr>
      </w:pPr>
      <w:r w:rsidRPr="003272B0">
        <w:rPr>
          <w:b/>
          <w:color w:val="000000" w:themeColor="text1"/>
          <w:sz w:val="22"/>
          <w:szCs w:val="22"/>
        </w:rPr>
        <w:t>CONCLUSION</w:t>
      </w:r>
    </w:p>
    <w:p w14:paraId="2F1BD54A" w14:textId="385E0115" w:rsidR="009935FD" w:rsidRPr="003272B0" w:rsidRDefault="006418BE" w:rsidP="002E1843">
      <w:pPr>
        <w:spacing w:line="480" w:lineRule="auto"/>
        <w:rPr>
          <w:color w:val="000000" w:themeColor="text1"/>
          <w:sz w:val="22"/>
          <w:szCs w:val="22"/>
        </w:rPr>
      </w:pPr>
      <w:r w:rsidRPr="003272B0">
        <w:rPr>
          <w:color w:val="000000" w:themeColor="text1"/>
          <w:sz w:val="22"/>
          <w:szCs w:val="22"/>
        </w:rPr>
        <w:t xml:space="preserve">Marine health and safety </w:t>
      </w:r>
      <w:proofErr w:type="gramStart"/>
      <w:r w:rsidR="00FA7AD6" w:rsidRPr="003272B0">
        <w:rPr>
          <w:color w:val="000000" w:themeColor="text1"/>
          <w:sz w:val="22"/>
          <w:szCs w:val="22"/>
        </w:rPr>
        <w:t>is</w:t>
      </w:r>
      <w:proofErr w:type="gramEnd"/>
      <w:r w:rsidR="00FA7AD6" w:rsidRPr="003272B0">
        <w:rPr>
          <w:color w:val="000000" w:themeColor="text1"/>
          <w:sz w:val="22"/>
          <w:szCs w:val="22"/>
        </w:rPr>
        <w:t xml:space="preserve"> a complicated area today in Canada,</w:t>
      </w:r>
      <w:r w:rsidR="006E2E3F" w:rsidRPr="003272B0">
        <w:rPr>
          <w:color w:val="000000" w:themeColor="text1"/>
          <w:sz w:val="22"/>
          <w:szCs w:val="22"/>
        </w:rPr>
        <w:t xml:space="preserve"> and various factors</w:t>
      </w:r>
      <w:r w:rsidR="0069284D" w:rsidRPr="003272B0">
        <w:rPr>
          <w:color w:val="000000" w:themeColor="text1"/>
          <w:sz w:val="22"/>
          <w:szCs w:val="22"/>
        </w:rPr>
        <w:t xml:space="preserve">, including the increase of marine activities in the opening Arctic, </w:t>
      </w:r>
      <w:r w:rsidR="002E2A3C" w:rsidRPr="003272B0">
        <w:rPr>
          <w:color w:val="000000" w:themeColor="text1"/>
          <w:sz w:val="22"/>
          <w:szCs w:val="22"/>
        </w:rPr>
        <w:t xml:space="preserve">the </w:t>
      </w:r>
      <w:r w:rsidR="00070528" w:rsidRPr="003272B0">
        <w:rPr>
          <w:color w:val="000000" w:themeColor="text1"/>
          <w:sz w:val="22"/>
          <w:szCs w:val="22"/>
        </w:rPr>
        <w:t>adoption</w:t>
      </w:r>
      <w:r w:rsidR="002E2A3C" w:rsidRPr="003272B0">
        <w:rPr>
          <w:color w:val="000000" w:themeColor="text1"/>
          <w:sz w:val="22"/>
          <w:szCs w:val="22"/>
        </w:rPr>
        <w:t xml:space="preserve"> </w:t>
      </w:r>
      <w:r w:rsidR="00070528" w:rsidRPr="003272B0">
        <w:rPr>
          <w:color w:val="000000" w:themeColor="text1"/>
          <w:sz w:val="22"/>
          <w:szCs w:val="22"/>
        </w:rPr>
        <w:t xml:space="preserve">of international maritime health and safety instruments by the International Maritime Organisation and International Labour Organisation. </w:t>
      </w:r>
      <w:r w:rsidR="00B035EC" w:rsidRPr="003272B0">
        <w:rPr>
          <w:color w:val="000000" w:themeColor="text1"/>
          <w:sz w:val="22"/>
          <w:szCs w:val="22"/>
        </w:rPr>
        <w:t xml:space="preserve">In addition, the </w:t>
      </w:r>
      <w:r w:rsidR="00B64244" w:rsidRPr="003272B0">
        <w:rPr>
          <w:color w:val="000000" w:themeColor="text1"/>
          <w:sz w:val="22"/>
          <w:szCs w:val="22"/>
        </w:rPr>
        <w:t xml:space="preserve">reform of </w:t>
      </w:r>
      <w:r w:rsidR="00B035EC" w:rsidRPr="003272B0">
        <w:rPr>
          <w:color w:val="000000" w:themeColor="text1"/>
          <w:sz w:val="22"/>
          <w:szCs w:val="22"/>
        </w:rPr>
        <w:t xml:space="preserve">occupational health and safety law, </w:t>
      </w:r>
      <w:r w:rsidR="00B64244" w:rsidRPr="003272B0">
        <w:rPr>
          <w:color w:val="000000" w:themeColor="text1"/>
          <w:sz w:val="22"/>
          <w:szCs w:val="22"/>
        </w:rPr>
        <w:t xml:space="preserve">including recent efforts to prevent workplace harassment and violence, to introduce administrative monetary penalties to enhance the </w:t>
      </w:r>
      <w:r w:rsidR="00B64244" w:rsidRPr="003272B0">
        <w:rPr>
          <w:color w:val="000000" w:themeColor="text1"/>
          <w:sz w:val="22"/>
          <w:szCs w:val="22"/>
        </w:rPr>
        <w:lastRenderedPageBreak/>
        <w:t xml:space="preserve">enforcement of health and safety standards in Canada, </w:t>
      </w:r>
      <w:r w:rsidR="009065E8" w:rsidRPr="003272B0">
        <w:rPr>
          <w:color w:val="000000" w:themeColor="text1"/>
          <w:sz w:val="22"/>
          <w:szCs w:val="22"/>
        </w:rPr>
        <w:t xml:space="preserve">requires </w:t>
      </w:r>
      <w:r w:rsidR="009935FD" w:rsidRPr="003272B0">
        <w:rPr>
          <w:color w:val="000000" w:themeColor="text1"/>
          <w:sz w:val="22"/>
          <w:szCs w:val="22"/>
        </w:rPr>
        <w:t xml:space="preserve">contribution from the marine sector. </w:t>
      </w:r>
    </w:p>
    <w:p w14:paraId="7043552B" w14:textId="6DB3BFB0" w:rsidR="009935FD" w:rsidRPr="003272B0" w:rsidRDefault="009935FD" w:rsidP="003441B5">
      <w:pPr>
        <w:spacing w:line="480" w:lineRule="auto"/>
        <w:ind w:firstLine="720"/>
        <w:rPr>
          <w:color w:val="000000" w:themeColor="text1"/>
          <w:sz w:val="22"/>
          <w:szCs w:val="22"/>
        </w:rPr>
      </w:pPr>
      <w:r w:rsidRPr="003272B0">
        <w:rPr>
          <w:color w:val="000000" w:themeColor="text1"/>
          <w:sz w:val="22"/>
          <w:szCs w:val="22"/>
        </w:rPr>
        <w:t xml:space="preserve">However, on the other hand, the marine sector, in particular shipping and fishing industries, are </w:t>
      </w:r>
      <w:r w:rsidR="000D0EF1" w:rsidRPr="003272B0">
        <w:rPr>
          <w:color w:val="000000" w:themeColor="text1"/>
          <w:sz w:val="22"/>
          <w:szCs w:val="22"/>
        </w:rPr>
        <w:t>falling into two different jurisdictions, federal and provincial, in Canada.</w:t>
      </w:r>
      <w:r w:rsidR="00FF27F4" w:rsidRPr="003272B0">
        <w:rPr>
          <w:color w:val="000000" w:themeColor="text1"/>
          <w:sz w:val="22"/>
          <w:szCs w:val="22"/>
        </w:rPr>
        <w:t xml:space="preserve"> The </w:t>
      </w:r>
      <w:proofErr w:type="gramStart"/>
      <w:r w:rsidR="00FF27F4" w:rsidRPr="003272B0">
        <w:rPr>
          <w:color w:val="000000" w:themeColor="text1"/>
          <w:sz w:val="22"/>
          <w:szCs w:val="22"/>
        </w:rPr>
        <w:t>deep sea</w:t>
      </w:r>
      <w:proofErr w:type="gramEnd"/>
      <w:r w:rsidR="00FF27F4" w:rsidRPr="003272B0">
        <w:rPr>
          <w:color w:val="000000" w:themeColor="text1"/>
          <w:sz w:val="22"/>
          <w:szCs w:val="22"/>
        </w:rPr>
        <w:t xml:space="preserve"> fishing activities, may take place outside Canadian territorial sea as well as exclusive economic zones, and </w:t>
      </w:r>
      <w:r w:rsidR="00257A3F" w:rsidRPr="003272B0">
        <w:rPr>
          <w:color w:val="000000" w:themeColor="text1"/>
          <w:sz w:val="22"/>
          <w:szCs w:val="22"/>
        </w:rPr>
        <w:t>the</w:t>
      </w:r>
      <w:r w:rsidR="00923644" w:rsidRPr="003272B0">
        <w:rPr>
          <w:color w:val="000000" w:themeColor="text1"/>
          <w:sz w:val="22"/>
          <w:szCs w:val="22"/>
        </w:rPr>
        <w:t xml:space="preserve"> technical aspects of </w:t>
      </w:r>
      <w:r w:rsidR="00257A3F" w:rsidRPr="003272B0">
        <w:rPr>
          <w:color w:val="000000" w:themeColor="text1"/>
          <w:sz w:val="22"/>
          <w:szCs w:val="22"/>
        </w:rPr>
        <w:t>trawler</w:t>
      </w:r>
      <w:r w:rsidR="00923644" w:rsidRPr="003272B0">
        <w:rPr>
          <w:color w:val="000000" w:themeColor="text1"/>
          <w:sz w:val="22"/>
          <w:szCs w:val="22"/>
        </w:rPr>
        <w:t xml:space="preserve"> navigation </w:t>
      </w:r>
      <w:r w:rsidR="00F5499E" w:rsidRPr="003272B0">
        <w:rPr>
          <w:color w:val="000000" w:themeColor="text1"/>
          <w:sz w:val="22"/>
          <w:szCs w:val="22"/>
        </w:rPr>
        <w:t>safety is as complicated as commercial shipping</w:t>
      </w:r>
      <w:r w:rsidR="007974DC" w:rsidRPr="003272B0">
        <w:rPr>
          <w:color w:val="000000" w:themeColor="text1"/>
          <w:sz w:val="22"/>
          <w:szCs w:val="22"/>
        </w:rPr>
        <w:t xml:space="preserve">. In this context, the overlap of </w:t>
      </w:r>
      <w:r w:rsidR="00423D27" w:rsidRPr="003272B0">
        <w:rPr>
          <w:color w:val="000000" w:themeColor="text1"/>
          <w:sz w:val="22"/>
          <w:szCs w:val="22"/>
        </w:rPr>
        <w:t xml:space="preserve">provincial and federal jurisdictions led to the lack of uniformity of marine health and safety standards, which will further create barriers for Canada to implement international fishing-related health and safety standards </w:t>
      </w:r>
      <w:r w:rsidR="00254185" w:rsidRPr="003272B0">
        <w:rPr>
          <w:color w:val="000000" w:themeColor="text1"/>
          <w:sz w:val="22"/>
          <w:szCs w:val="22"/>
        </w:rPr>
        <w:t xml:space="preserve">in the near future. </w:t>
      </w:r>
      <w:r w:rsidR="007E4350" w:rsidRPr="003272B0">
        <w:rPr>
          <w:color w:val="000000" w:themeColor="text1"/>
          <w:sz w:val="22"/>
          <w:szCs w:val="22"/>
        </w:rPr>
        <w:t xml:space="preserve">To harmonise the marine occupational health and safety regulations and streamline the compliance process is a crucial need to promote </w:t>
      </w:r>
      <w:r w:rsidR="00C77247" w:rsidRPr="003272B0">
        <w:rPr>
          <w:color w:val="000000" w:themeColor="text1"/>
          <w:sz w:val="22"/>
          <w:szCs w:val="22"/>
        </w:rPr>
        <w:t xml:space="preserve">sustainable development of the marine sector in Canada. </w:t>
      </w:r>
    </w:p>
    <w:p w14:paraId="23CDC2C4" w14:textId="77777777" w:rsidR="00C77247" w:rsidRPr="003272B0" w:rsidRDefault="00C77247" w:rsidP="002E1843">
      <w:pPr>
        <w:spacing w:line="480" w:lineRule="auto"/>
        <w:rPr>
          <w:color w:val="000000" w:themeColor="text1"/>
          <w:sz w:val="22"/>
          <w:szCs w:val="22"/>
        </w:rPr>
      </w:pPr>
    </w:p>
    <w:p w14:paraId="12BDD5B8" w14:textId="7A71F801" w:rsidR="006418BE" w:rsidRPr="003272B0" w:rsidRDefault="006418BE" w:rsidP="002E1843">
      <w:pPr>
        <w:spacing w:line="480" w:lineRule="auto"/>
        <w:rPr>
          <w:color w:val="000000" w:themeColor="text1"/>
          <w:sz w:val="22"/>
          <w:szCs w:val="22"/>
        </w:rPr>
      </w:pPr>
    </w:p>
    <w:sectPr w:rsidR="006418BE" w:rsidRPr="003272B0" w:rsidSect="002E1843">
      <w:footerReference w:type="even" r:id="rId9"/>
      <w:footerReference w:type="default" r:id="rId10"/>
      <w:pgSz w:w="12240" w:h="15840"/>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7150" w14:textId="77777777" w:rsidR="00D0151B" w:rsidRDefault="00D0151B" w:rsidP="00FE4847">
      <w:r>
        <w:separator/>
      </w:r>
    </w:p>
  </w:endnote>
  <w:endnote w:type="continuationSeparator" w:id="0">
    <w:p w14:paraId="14797DD1" w14:textId="77777777" w:rsidR="00D0151B" w:rsidRDefault="00D0151B" w:rsidP="00FE4847">
      <w:r>
        <w:continuationSeparator/>
      </w:r>
    </w:p>
  </w:endnote>
  <w:endnote w:id="1">
    <w:p w14:paraId="3FC8B04A" w14:textId="77777777" w:rsidR="00103E28" w:rsidRPr="00237008" w:rsidRDefault="00103E28" w:rsidP="00103E28">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dernMTStd-Wide">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11680"/>
      <w:docPartObj>
        <w:docPartGallery w:val="Page Numbers (Bottom of Page)"/>
        <w:docPartUnique/>
      </w:docPartObj>
    </w:sdtPr>
    <w:sdtContent>
      <w:p w14:paraId="5ED21FB6" w14:textId="26D0EDEA" w:rsidR="00985E94" w:rsidRDefault="00985E94" w:rsidP="00BA26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FF40A" w14:textId="77777777" w:rsidR="00985E94" w:rsidRDefault="0098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554157"/>
      <w:docPartObj>
        <w:docPartGallery w:val="Page Numbers (Bottom of Page)"/>
        <w:docPartUnique/>
      </w:docPartObj>
    </w:sdtPr>
    <w:sdtContent>
      <w:p w14:paraId="0ADE0132" w14:textId="4E3955A2" w:rsidR="00985E94" w:rsidRDefault="00985E94" w:rsidP="00BA26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F1FA6" w14:textId="77777777" w:rsidR="00985E94" w:rsidRDefault="0098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BBAC" w14:textId="77777777" w:rsidR="00D0151B" w:rsidRDefault="00D0151B" w:rsidP="00FE4847">
      <w:r>
        <w:separator/>
      </w:r>
    </w:p>
  </w:footnote>
  <w:footnote w:type="continuationSeparator" w:id="0">
    <w:p w14:paraId="2195EB50" w14:textId="77777777" w:rsidR="00D0151B" w:rsidRDefault="00D0151B" w:rsidP="00FE4847">
      <w:r>
        <w:continuationSeparator/>
      </w:r>
    </w:p>
  </w:footnote>
  <w:footnote w:id="1">
    <w:p w14:paraId="119750EE" w14:textId="0277933D" w:rsidR="00500065" w:rsidRDefault="00BF58B1" w:rsidP="00500065">
      <w:pPr>
        <w:ind w:firstLine="360"/>
        <w:rPr>
          <w:color w:val="000000" w:themeColor="text1"/>
        </w:rPr>
      </w:pPr>
      <w:r>
        <w:rPr>
          <w:sz w:val="22"/>
          <w:szCs w:val="22"/>
        </w:rPr>
        <w:t>*</w:t>
      </w:r>
      <w:r w:rsidR="00500065" w:rsidRPr="00500065">
        <w:rPr>
          <w:color w:val="000000" w:themeColor="text1"/>
        </w:rPr>
        <w:t xml:space="preserve"> </w:t>
      </w:r>
      <w:r w:rsidR="00500065" w:rsidRPr="00500065">
        <w:rPr>
          <w:color w:val="000000" w:themeColor="text1"/>
          <w:sz w:val="22"/>
          <w:szCs w:val="22"/>
        </w:rPr>
        <w:t xml:space="preserve">This research was funded by the </w:t>
      </w:r>
      <w:r w:rsidR="00500065">
        <w:rPr>
          <w:color w:val="000000" w:themeColor="text1"/>
          <w:sz w:val="22"/>
          <w:szCs w:val="22"/>
        </w:rPr>
        <w:t xml:space="preserve">Ocean Frontier Institute International Postdoctoral </w:t>
      </w:r>
      <w:r w:rsidR="00C50DA2">
        <w:rPr>
          <w:color w:val="000000" w:themeColor="text1"/>
          <w:sz w:val="22"/>
          <w:szCs w:val="22"/>
        </w:rPr>
        <w:t>F</w:t>
      </w:r>
      <w:r w:rsidR="00500065">
        <w:rPr>
          <w:color w:val="000000" w:themeColor="text1"/>
          <w:sz w:val="22"/>
          <w:szCs w:val="22"/>
        </w:rPr>
        <w:t xml:space="preserve">ellowship, </w:t>
      </w:r>
      <w:r w:rsidR="00985E94">
        <w:rPr>
          <w:color w:val="000000" w:themeColor="text1"/>
          <w:sz w:val="22"/>
          <w:szCs w:val="22"/>
        </w:rPr>
        <w:t xml:space="preserve">Ocean Frontier Institute Seed Fund, </w:t>
      </w:r>
      <w:r w:rsidR="00500065" w:rsidRPr="00500065">
        <w:rPr>
          <w:color w:val="000000" w:themeColor="text1"/>
          <w:sz w:val="22"/>
          <w:szCs w:val="22"/>
        </w:rPr>
        <w:t>On the Move Partnership</w:t>
      </w:r>
      <w:r w:rsidR="005D65AD">
        <w:rPr>
          <w:color w:val="000000" w:themeColor="text1"/>
          <w:sz w:val="22"/>
          <w:szCs w:val="22"/>
        </w:rPr>
        <w:t xml:space="preserve"> </w:t>
      </w:r>
      <w:r w:rsidR="00500065" w:rsidRPr="00500065">
        <w:rPr>
          <w:color w:val="000000" w:themeColor="text1"/>
          <w:sz w:val="22"/>
          <w:szCs w:val="22"/>
        </w:rPr>
        <w:t xml:space="preserve">and the Canada Research Chair in Occupational Health and Safety Law, funded by the Social Sciences and Humanities Research Council. </w:t>
      </w:r>
    </w:p>
    <w:p w14:paraId="741892B4" w14:textId="6DC0FB33" w:rsidR="00BF58B1" w:rsidRDefault="00BF58B1" w:rsidP="005E1787">
      <w:pPr>
        <w:rPr>
          <w:sz w:val="22"/>
          <w:szCs w:val="22"/>
        </w:rPr>
      </w:pPr>
    </w:p>
    <w:p w14:paraId="16F1AC86" w14:textId="626FBFA9" w:rsidR="00A73295" w:rsidRPr="005E1787" w:rsidRDefault="00A73295" w:rsidP="005E1787">
      <w:pPr>
        <w:rPr>
          <w:sz w:val="22"/>
          <w:szCs w:val="22"/>
        </w:rPr>
      </w:pPr>
      <w:r w:rsidRPr="00945766">
        <w:rPr>
          <w:rStyle w:val="FootnoteReference"/>
          <w:sz w:val="22"/>
          <w:szCs w:val="22"/>
        </w:rPr>
        <w:footnoteRef/>
      </w:r>
      <w:r w:rsidRPr="00945766">
        <w:rPr>
          <w:rStyle w:val="FootnoteReference"/>
          <w:sz w:val="22"/>
          <w:szCs w:val="22"/>
        </w:rPr>
        <w:t xml:space="preserve"> </w:t>
      </w:r>
      <w:r w:rsidR="00DD4CD4" w:rsidRPr="00945766">
        <w:rPr>
          <w:rStyle w:val="FootnoteTextChar"/>
          <w:sz w:val="22"/>
          <w:szCs w:val="22"/>
        </w:rPr>
        <w:t>Crewmember Suffers Fatal Fall from Dock at Eisenhower Locks</w:t>
      </w:r>
      <w:r w:rsidR="0055287C" w:rsidRPr="00945766">
        <w:rPr>
          <w:rStyle w:val="FootnoteTextChar"/>
          <w:sz w:val="22"/>
          <w:szCs w:val="22"/>
        </w:rPr>
        <w:t xml:space="preserve">, </w:t>
      </w:r>
      <w:r w:rsidR="005817C1" w:rsidRPr="00945766">
        <w:rPr>
          <w:rStyle w:val="FootnoteTextChar"/>
          <w:sz w:val="22"/>
          <w:szCs w:val="22"/>
        </w:rPr>
        <w:t xml:space="preserve">reported by the Maritime Executive on </w:t>
      </w:r>
      <w:r w:rsidR="00A03328" w:rsidRPr="00945766">
        <w:rPr>
          <w:rStyle w:val="FootnoteTextChar"/>
          <w:sz w:val="22"/>
          <w:szCs w:val="22"/>
        </w:rPr>
        <w:t>17th October 2018, available online</w:t>
      </w:r>
      <w:r w:rsidR="00D36754" w:rsidRPr="00945766">
        <w:rPr>
          <w:rStyle w:val="FootnoteTextChar"/>
          <w:sz w:val="22"/>
          <w:szCs w:val="22"/>
        </w:rPr>
        <w:t>:</w:t>
      </w:r>
      <w:r w:rsidR="00D36754" w:rsidRPr="00945766">
        <w:rPr>
          <w:sz w:val="22"/>
          <w:szCs w:val="22"/>
        </w:rPr>
        <w:t xml:space="preserve"> &lt;</w:t>
      </w:r>
      <w:hyperlink r:id="rId1" w:history="1">
        <w:r w:rsidR="00D36754" w:rsidRPr="00945766">
          <w:rPr>
            <w:rStyle w:val="Hyperlink"/>
            <w:sz w:val="22"/>
            <w:szCs w:val="22"/>
          </w:rPr>
          <w:t>https://www.maritime-executive.com/article/crewmember-suffers-fatal-fall-from-dock-at-eisenhower-locks</w:t>
        </w:r>
      </w:hyperlink>
      <w:r w:rsidR="00D36754" w:rsidRPr="00945766">
        <w:rPr>
          <w:sz w:val="22"/>
          <w:szCs w:val="22"/>
        </w:rPr>
        <w:t>&gt;</w:t>
      </w:r>
    </w:p>
  </w:footnote>
  <w:footnote w:id="2">
    <w:p w14:paraId="3199AD7F" w14:textId="77777777" w:rsidR="005E1787" w:rsidRPr="00161D73" w:rsidRDefault="00FD3842" w:rsidP="005E1787">
      <w:pPr>
        <w:rPr>
          <w:sz w:val="22"/>
          <w:szCs w:val="22"/>
        </w:rPr>
      </w:pPr>
      <w:r>
        <w:rPr>
          <w:rStyle w:val="FootnoteReference"/>
        </w:rPr>
        <w:footnoteRef/>
      </w:r>
      <w:r w:rsidR="005E1787" w:rsidRPr="00161D73">
        <w:rPr>
          <w:sz w:val="22"/>
          <w:szCs w:val="22"/>
        </w:rPr>
        <w:t>Quebec Man Killed in Ship Accident at Seaway Dock in New York, reported by the Associated Press on 16</w:t>
      </w:r>
      <w:r w:rsidR="005E1787" w:rsidRPr="00161D73">
        <w:rPr>
          <w:sz w:val="22"/>
          <w:szCs w:val="22"/>
          <w:vertAlign w:val="superscript"/>
        </w:rPr>
        <w:t>th</w:t>
      </w:r>
      <w:r w:rsidR="005E1787" w:rsidRPr="00161D73">
        <w:rPr>
          <w:sz w:val="22"/>
          <w:szCs w:val="22"/>
        </w:rPr>
        <w:t xml:space="preserve"> October 2018, available online &lt;</w:t>
      </w:r>
      <w:hyperlink r:id="rId2" w:history="1">
        <w:r w:rsidR="005E1787" w:rsidRPr="00161D73">
          <w:rPr>
            <w:rStyle w:val="Hyperlink"/>
            <w:sz w:val="22"/>
            <w:szCs w:val="22"/>
          </w:rPr>
          <w:t>https://www.cbc.ca/news/canada/montreal/quebec-man-dies-st-lawrence-seaway-1.4865698</w:t>
        </w:r>
      </w:hyperlink>
      <w:r w:rsidR="005E1787" w:rsidRPr="00161D73">
        <w:rPr>
          <w:color w:val="0000FF"/>
          <w:sz w:val="22"/>
          <w:szCs w:val="22"/>
          <w:u w:val="single"/>
        </w:rPr>
        <w:t>&gt;</w:t>
      </w:r>
    </w:p>
    <w:p w14:paraId="6246699B" w14:textId="503D9E18" w:rsidR="00FD3842" w:rsidRDefault="00FD3842">
      <w:pPr>
        <w:pStyle w:val="FootnoteText"/>
      </w:pPr>
      <w:r>
        <w:t xml:space="preserve"> </w:t>
      </w:r>
    </w:p>
  </w:footnote>
  <w:footnote w:id="3">
    <w:p w14:paraId="23128580" w14:textId="2BF7DC62" w:rsidR="009C3CA1" w:rsidRPr="00E110AA" w:rsidRDefault="009C3CA1" w:rsidP="00E6758C">
      <w:pPr>
        <w:rPr>
          <w:sz w:val="22"/>
          <w:szCs w:val="22"/>
        </w:rPr>
      </w:pPr>
      <w:r>
        <w:rPr>
          <w:rStyle w:val="FootnoteReference"/>
        </w:rPr>
        <w:footnoteRef/>
      </w:r>
      <w:r>
        <w:t xml:space="preserve"> </w:t>
      </w:r>
      <w:r w:rsidR="00CE4401" w:rsidRPr="00C03238">
        <w:rPr>
          <w:sz w:val="22"/>
          <w:szCs w:val="22"/>
        </w:rPr>
        <w:t xml:space="preserve">Watchlist 2018, Key Safety Issues in Canada’s Marine Transportation System: </w:t>
      </w:r>
      <w:r w:rsidR="00F94CDA" w:rsidRPr="00C03238">
        <w:rPr>
          <w:sz w:val="22"/>
          <w:szCs w:val="22"/>
        </w:rPr>
        <w:t>Commercial Fishing Safety</w:t>
      </w:r>
      <w:r w:rsidR="001D633E" w:rsidRPr="00C03238">
        <w:rPr>
          <w:sz w:val="22"/>
          <w:szCs w:val="22"/>
        </w:rPr>
        <w:t>,</w:t>
      </w:r>
      <w:r w:rsidR="00CE4401" w:rsidRPr="00C03238">
        <w:rPr>
          <w:sz w:val="22"/>
          <w:szCs w:val="22"/>
        </w:rPr>
        <w:t xml:space="preserve"> by </w:t>
      </w:r>
      <w:r w:rsidR="00C03238" w:rsidRPr="00C03238">
        <w:rPr>
          <w:sz w:val="22"/>
          <w:szCs w:val="22"/>
        </w:rPr>
        <w:t>Transportation Safety Board of Canada, available online: &lt;</w:t>
      </w:r>
      <w:r w:rsidR="001D633E" w:rsidRPr="00C03238">
        <w:rPr>
          <w:sz w:val="22"/>
          <w:szCs w:val="22"/>
        </w:rPr>
        <w:t xml:space="preserve"> </w:t>
      </w:r>
      <w:hyperlink r:id="rId3" w:history="1">
        <w:r w:rsidR="00CE4401" w:rsidRPr="00C03238">
          <w:rPr>
            <w:rStyle w:val="Hyperlink"/>
            <w:sz w:val="22"/>
            <w:szCs w:val="22"/>
          </w:rPr>
          <w:t>http://www.bst-tsb.gc.ca/eng/surveillance-watchlist/marine/2018/marine.html</w:t>
        </w:r>
      </w:hyperlink>
      <w:r w:rsidR="00C03238" w:rsidRPr="00C03238">
        <w:rPr>
          <w:sz w:val="22"/>
          <w:szCs w:val="22"/>
        </w:rPr>
        <w:t xml:space="preserve">&gt;. </w:t>
      </w:r>
    </w:p>
  </w:footnote>
  <w:footnote w:id="4">
    <w:p w14:paraId="00D74BA8" w14:textId="4EFBB402" w:rsidR="005E1787" w:rsidRPr="00A0108F" w:rsidRDefault="005E1787" w:rsidP="00A0108F">
      <w:pPr>
        <w:rPr>
          <w:sz w:val="22"/>
          <w:szCs w:val="22"/>
        </w:rPr>
      </w:pPr>
      <w:r>
        <w:rPr>
          <w:rStyle w:val="FootnoteReference"/>
        </w:rPr>
        <w:footnoteRef/>
      </w:r>
      <w:r>
        <w:t xml:space="preserve"> </w:t>
      </w:r>
      <w:r w:rsidRPr="00A0108F">
        <w:rPr>
          <w:bCs/>
          <w:color w:val="000000"/>
          <w:sz w:val="22"/>
          <w:szCs w:val="22"/>
        </w:rPr>
        <w:t xml:space="preserve">TSB </w:t>
      </w:r>
      <w:r w:rsidR="00B65816" w:rsidRPr="00A0108F">
        <w:rPr>
          <w:bCs/>
          <w:color w:val="000000"/>
          <w:sz w:val="22"/>
          <w:szCs w:val="22"/>
        </w:rPr>
        <w:t xml:space="preserve">Calls out Fishing Industry after Deadliest Year in More than a Decade, reported by CBC News on </w:t>
      </w:r>
      <w:r w:rsidR="00A0108F" w:rsidRPr="00A0108F">
        <w:rPr>
          <w:bCs/>
          <w:color w:val="000000"/>
          <w:sz w:val="22"/>
          <w:szCs w:val="22"/>
        </w:rPr>
        <w:t>29</w:t>
      </w:r>
      <w:r w:rsidR="00A0108F" w:rsidRPr="00A0108F">
        <w:rPr>
          <w:bCs/>
          <w:color w:val="000000"/>
          <w:sz w:val="22"/>
          <w:szCs w:val="22"/>
          <w:vertAlign w:val="superscript"/>
        </w:rPr>
        <w:t>th</w:t>
      </w:r>
      <w:r w:rsidR="00A0108F" w:rsidRPr="00A0108F">
        <w:rPr>
          <w:bCs/>
          <w:color w:val="000000"/>
          <w:sz w:val="22"/>
          <w:szCs w:val="22"/>
        </w:rPr>
        <w:t xml:space="preserve"> October 2018, available online</w:t>
      </w:r>
      <w:r w:rsidR="00A0108F" w:rsidRPr="00A0108F">
        <w:rPr>
          <w:b/>
          <w:bCs/>
          <w:color w:val="000000"/>
          <w:sz w:val="22"/>
          <w:szCs w:val="22"/>
        </w:rPr>
        <w:t xml:space="preserve"> &lt;</w:t>
      </w:r>
      <w:hyperlink r:id="rId4" w:history="1">
        <w:r w:rsidR="00A0108F" w:rsidRPr="00A0108F">
          <w:rPr>
            <w:rStyle w:val="Hyperlink"/>
            <w:sz w:val="22"/>
            <w:szCs w:val="22"/>
          </w:rPr>
          <w:t>https://www.cbc.ca/news/canada/nova-scotia/transportation-safety-board-commercial-fishing-industry-deaths-watchlist-2018-1.4882699</w:t>
        </w:r>
      </w:hyperlink>
      <w:r w:rsidR="00A0108F" w:rsidRPr="00A0108F">
        <w:rPr>
          <w:b/>
          <w:bCs/>
          <w:color w:val="000000"/>
          <w:sz w:val="22"/>
          <w:szCs w:val="22"/>
        </w:rPr>
        <w:t>&gt;</w:t>
      </w:r>
    </w:p>
    <w:p w14:paraId="73998173" w14:textId="4526CFCC" w:rsidR="005E1787" w:rsidRDefault="005E1787">
      <w:pPr>
        <w:pStyle w:val="FootnoteText"/>
      </w:pPr>
    </w:p>
  </w:footnote>
  <w:footnote w:id="5">
    <w:p w14:paraId="543E81B9" w14:textId="376E943E" w:rsidR="00E110AA" w:rsidRDefault="00E110AA">
      <w:pPr>
        <w:pStyle w:val="FootnoteText"/>
      </w:pPr>
      <w:r>
        <w:rPr>
          <w:rStyle w:val="FootnoteReference"/>
        </w:rPr>
        <w:footnoteRef/>
      </w:r>
      <w:r>
        <w:t xml:space="preserve"> Grounded Cruise Ship Rescue in Nunavut Cost Canada’s Armed Forces $513K, reported by CBC News on 7</w:t>
      </w:r>
      <w:r w:rsidRPr="00E110AA">
        <w:rPr>
          <w:vertAlign w:val="superscript"/>
        </w:rPr>
        <w:t>th</w:t>
      </w:r>
      <w:r>
        <w:t xml:space="preserve"> September</w:t>
      </w:r>
      <w:r w:rsidR="00B3015A">
        <w:t xml:space="preserve"> </w:t>
      </w:r>
      <w:r>
        <w:t>2018, available online &lt;</w:t>
      </w:r>
      <w:hyperlink r:id="rId5" w:history="1">
        <w:r>
          <w:rPr>
            <w:rStyle w:val="Hyperlink"/>
          </w:rPr>
          <w:t>https://www.cbc.ca/news/canada/north/rcaf-akademik-ioffe-expensive-1.4810589</w:t>
        </w:r>
      </w:hyperlink>
      <w:r>
        <w:t>&gt;</w:t>
      </w:r>
    </w:p>
  </w:footnote>
  <w:footnote w:id="6">
    <w:p w14:paraId="65513EFE" w14:textId="0AA25E7A" w:rsidR="009126BC" w:rsidRPr="00B3015A" w:rsidRDefault="009126BC" w:rsidP="00B3015A">
      <w:pPr>
        <w:rPr>
          <w:sz w:val="22"/>
          <w:szCs w:val="22"/>
        </w:rPr>
      </w:pPr>
      <w:r>
        <w:rPr>
          <w:rStyle w:val="FootnoteReference"/>
        </w:rPr>
        <w:footnoteRef/>
      </w:r>
      <w:r>
        <w:t xml:space="preserve"> </w:t>
      </w:r>
      <w:r w:rsidR="00405ADF" w:rsidRPr="00B3015A">
        <w:rPr>
          <w:sz w:val="22"/>
          <w:szCs w:val="22"/>
        </w:rPr>
        <w:t xml:space="preserve">Marine Transportation Safety Investigation M18C0225, updated by </w:t>
      </w:r>
      <w:r w:rsidR="00B3015A" w:rsidRPr="00B3015A">
        <w:rPr>
          <w:sz w:val="22"/>
          <w:szCs w:val="22"/>
        </w:rPr>
        <w:t>Transportation Safety Board of Canada on 9</w:t>
      </w:r>
      <w:r w:rsidR="00B3015A" w:rsidRPr="00B3015A">
        <w:rPr>
          <w:sz w:val="22"/>
          <w:szCs w:val="22"/>
          <w:vertAlign w:val="superscript"/>
        </w:rPr>
        <w:t>th</w:t>
      </w:r>
      <w:r w:rsidR="00B3015A" w:rsidRPr="00B3015A">
        <w:rPr>
          <w:sz w:val="22"/>
          <w:szCs w:val="22"/>
        </w:rPr>
        <w:t xml:space="preserve"> November 2018, available online &lt;</w:t>
      </w:r>
      <w:hyperlink r:id="rId6" w:history="1">
        <w:r w:rsidR="00B3015A" w:rsidRPr="00B3015A">
          <w:rPr>
            <w:rStyle w:val="Hyperlink"/>
            <w:sz w:val="22"/>
            <w:szCs w:val="22"/>
          </w:rPr>
          <w:t>http://www.tsb.gc.ca/eng/enquetes-investigations/marine/2018/m18c0225/m18c0225.html</w:t>
        </w:r>
      </w:hyperlink>
      <w:r w:rsidR="00B3015A" w:rsidRPr="00B3015A">
        <w:rPr>
          <w:sz w:val="22"/>
          <w:szCs w:val="22"/>
        </w:rPr>
        <w:t>&gt;</w:t>
      </w:r>
    </w:p>
  </w:footnote>
  <w:footnote w:id="7">
    <w:p w14:paraId="73F0B2B3" w14:textId="09EAEEC2" w:rsidR="00B67AED" w:rsidRDefault="00B67AED" w:rsidP="00EF63FE">
      <w:r>
        <w:rPr>
          <w:rStyle w:val="FootnoteReference"/>
        </w:rPr>
        <w:footnoteRef/>
      </w:r>
      <w:r>
        <w:t xml:space="preserve"> </w:t>
      </w:r>
      <w:r w:rsidR="00514BA4" w:rsidRPr="00A77EE8">
        <w:rPr>
          <w:sz w:val="20"/>
          <w:szCs w:val="20"/>
        </w:rPr>
        <w:t>European Maritime Activities and Potential Environmental Issues</w:t>
      </w:r>
      <w:r w:rsidR="002F3154" w:rsidRPr="00A77EE8">
        <w:rPr>
          <w:sz w:val="20"/>
          <w:szCs w:val="20"/>
        </w:rPr>
        <w:t xml:space="preserve">, </w:t>
      </w:r>
      <w:r w:rsidR="00EF63FE" w:rsidRPr="00A77EE8">
        <w:rPr>
          <w:sz w:val="20"/>
          <w:szCs w:val="20"/>
        </w:rPr>
        <w:t xml:space="preserve">last modified 14 January 2016, </w:t>
      </w:r>
      <w:r w:rsidR="002F3154" w:rsidRPr="00A77EE8">
        <w:rPr>
          <w:sz w:val="20"/>
          <w:szCs w:val="20"/>
        </w:rPr>
        <w:t>available online:</w:t>
      </w:r>
      <w:r w:rsidR="00EF63FE" w:rsidRPr="00A77EE8">
        <w:rPr>
          <w:sz w:val="20"/>
          <w:szCs w:val="20"/>
        </w:rPr>
        <w:t xml:space="preserve"> &lt; </w:t>
      </w:r>
      <w:hyperlink r:id="rId7" w:history="1">
        <w:r w:rsidR="00EF63FE" w:rsidRPr="00A77EE8">
          <w:rPr>
            <w:rStyle w:val="Hyperlink"/>
            <w:sz w:val="20"/>
            <w:szCs w:val="20"/>
          </w:rPr>
          <w:t>https://www.eea.europa.eu/soer-2015/europe/maritime-activities/european-maritime-activities-and-potential</w:t>
        </w:r>
      </w:hyperlink>
      <w:r w:rsidR="00EF63FE" w:rsidRPr="00A77EE8">
        <w:rPr>
          <w:sz w:val="20"/>
          <w:szCs w:val="20"/>
        </w:rPr>
        <w:t>&gt;</w:t>
      </w:r>
    </w:p>
  </w:footnote>
  <w:footnote w:id="8">
    <w:p w14:paraId="3948B76C" w14:textId="1452F281" w:rsidR="00A77EE8" w:rsidRDefault="00A77EE8" w:rsidP="00370881">
      <w:r>
        <w:rPr>
          <w:rStyle w:val="FootnoteReference"/>
        </w:rPr>
        <w:footnoteRef/>
      </w:r>
      <w:r>
        <w:t xml:space="preserve"> </w:t>
      </w:r>
      <w:r w:rsidR="00184178" w:rsidRPr="008D1475">
        <w:rPr>
          <w:sz w:val="20"/>
          <w:szCs w:val="20"/>
        </w:rPr>
        <w:t xml:space="preserve">Frédéric </w:t>
      </w:r>
      <w:proofErr w:type="spellStart"/>
      <w:r w:rsidR="00184178" w:rsidRPr="008D1475">
        <w:rPr>
          <w:sz w:val="20"/>
          <w:szCs w:val="20"/>
        </w:rPr>
        <w:t>Lasserre</w:t>
      </w:r>
      <w:proofErr w:type="spellEnd"/>
      <w:r w:rsidR="00184178" w:rsidRPr="008D1475">
        <w:rPr>
          <w:sz w:val="20"/>
          <w:szCs w:val="20"/>
        </w:rPr>
        <w:t>,</w:t>
      </w:r>
      <w:r w:rsidR="000515ED" w:rsidRPr="008D1475">
        <w:rPr>
          <w:sz w:val="20"/>
          <w:szCs w:val="20"/>
        </w:rPr>
        <w:t xml:space="preserve"> “Arctic Shipping: A Contrasted Expansion of a Largely </w:t>
      </w:r>
      <w:proofErr w:type="spellStart"/>
      <w:r w:rsidR="000515ED" w:rsidRPr="008D1475">
        <w:rPr>
          <w:sz w:val="20"/>
          <w:szCs w:val="20"/>
        </w:rPr>
        <w:t>Destinational</w:t>
      </w:r>
      <w:proofErr w:type="spellEnd"/>
      <w:r w:rsidR="000515ED" w:rsidRPr="008D1475">
        <w:rPr>
          <w:sz w:val="20"/>
          <w:szCs w:val="20"/>
        </w:rPr>
        <w:t xml:space="preserve"> Market” in The Global Arctic </w:t>
      </w:r>
      <w:r w:rsidR="00F80778" w:rsidRPr="008D1475">
        <w:rPr>
          <w:sz w:val="20"/>
          <w:szCs w:val="20"/>
        </w:rPr>
        <w:t>Handboo</w:t>
      </w:r>
      <w:r w:rsidR="00CC042D" w:rsidRPr="008D1475">
        <w:rPr>
          <w:sz w:val="20"/>
          <w:szCs w:val="20"/>
        </w:rPr>
        <w:t>k</w:t>
      </w:r>
      <w:r w:rsidR="00F80778" w:rsidRPr="008D1475">
        <w:rPr>
          <w:sz w:val="20"/>
          <w:szCs w:val="20"/>
        </w:rPr>
        <w:t>, ed.</w:t>
      </w:r>
      <w:r w:rsidR="002A09C5" w:rsidRPr="008D1475">
        <w:rPr>
          <w:sz w:val="20"/>
          <w:szCs w:val="20"/>
        </w:rPr>
        <w:t xml:space="preserve"> M. Finger, L. </w:t>
      </w:r>
      <w:proofErr w:type="spellStart"/>
      <w:r w:rsidR="002A09C5" w:rsidRPr="008D1475">
        <w:rPr>
          <w:sz w:val="20"/>
          <w:szCs w:val="20"/>
        </w:rPr>
        <w:t>Heininen</w:t>
      </w:r>
      <w:proofErr w:type="spellEnd"/>
      <w:r w:rsidR="00E67620" w:rsidRPr="008D1475">
        <w:rPr>
          <w:sz w:val="20"/>
          <w:szCs w:val="20"/>
        </w:rPr>
        <w:t xml:space="preserve"> (</w:t>
      </w:r>
      <w:r w:rsidR="00A97465" w:rsidRPr="008D1475">
        <w:rPr>
          <w:sz w:val="20"/>
          <w:szCs w:val="20"/>
        </w:rPr>
        <w:t>Cham: Springer, 2019</w:t>
      </w:r>
      <w:r w:rsidR="00E67620" w:rsidRPr="008D1475">
        <w:rPr>
          <w:sz w:val="20"/>
          <w:szCs w:val="20"/>
        </w:rPr>
        <w:t>)</w:t>
      </w:r>
      <w:r w:rsidR="00A97465" w:rsidRPr="008D1475">
        <w:rPr>
          <w:sz w:val="20"/>
          <w:szCs w:val="20"/>
        </w:rPr>
        <w:t>, pp.</w:t>
      </w:r>
      <w:r w:rsidR="008D1475" w:rsidRPr="008D1475">
        <w:rPr>
          <w:sz w:val="20"/>
          <w:szCs w:val="20"/>
        </w:rPr>
        <w:t>83-100</w:t>
      </w:r>
    </w:p>
  </w:footnote>
  <w:footnote w:id="9">
    <w:p w14:paraId="4B8B29B8" w14:textId="1A07DBC2" w:rsidR="00370881" w:rsidRPr="006533B9" w:rsidRDefault="00370881">
      <w:pPr>
        <w:pStyle w:val="FootnoteText"/>
      </w:pPr>
      <w:r>
        <w:rPr>
          <w:rStyle w:val="FootnoteReference"/>
        </w:rPr>
        <w:footnoteRef/>
      </w:r>
      <w:r>
        <w:t xml:space="preserve"> </w:t>
      </w:r>
      <w:r w:rsidR="002A22EE">
        <w:t xml:space="preserve">D. Walters and N. Bailey, </w:t>
      </w:r>
      <w:r w:rsidR="002A22EE" w:rsidRPr="006533B9">
        <w:rPr>
          <w:i/>
        </w:rPr>
        <w:t>Lives in Peril</w:t>
      </w:r>
      <w:r w:rsidR="006533B9">
        <w:rPr>
          <w:i/>
        </w:rPr>
        <w:t xml:space="preserve">: Profit or Safety in the Global Maritime Industry </w:t>
      </w:r>
      <w:r w:rsidR="00B858A5">
        <w:t>(</w:t>
      </w:r>
      <w:r w:rsidR="00690838">
        <w:t xml:space="preserve">New York: </w:t>
      </w:r>
      <w:r w:rsidR="008A5831">
        <w:t>Palgrave Macmillan, 2013</w:t>
      </w:r>
      <w:r w:rsidR="00B858A5">
        <w:t>)</w:t>
      </w:r>
    </w:p>
  </w:footnote>
  <w:footnote w:id="10">
    <w:p w14:paraId="37261084" w14:textId="4138B732" w:rsidR="00D15A66" w:rsidRDefault="00D15A66">
      <w:pPr>
        <w:pStyle w:val="FootnoteText"/>
      </w:pPr>
      <w:r>
        <w:rPr>
          <w:rStyle w:val="FootnoteReference"/>
        </w:rPr>
        <w:footnoteRef/>
      </w:r>
      <w:r>
        <w:t xml:space="preserve"> See Maritime Labour Convention, 2006, Regulation 4.3, Standards A 4.3.2 (d)</w:t>
      </w:r>
    </w:p>
  </w:footnote>
  <w:footnote w:id="11">
    <w:p w14:paraId="549168BF" w14:textId="551E74E6" w:rsidR="00547531" w:rsidRDefault="00547531">
      <w:pPr>
        <w:pStyle w:val="FootnoteText"/>
      </w:pPr>
      <w:r>
        <w:rPr>
          <w:rStyle w:val="FootnoteReference"/>
        </w:rPr>
        <w:footnoteRef/>
      </w:r>
      <w:r>
        <w:t xml:space="preserve"> See Maritime Labour Convention, 2006, Article II.1(</w:t>
      </w:r>
      <w:proofErr w:type="spellStart"/>
      <w:r>
        <w:t>i</w:t>
      </w:r>
      <w:proofErr w:type="spellEnd"/>
      <w:r>
        <w:t>) and Article II.6</w:t>
      </w:r>
    </w:p>
  </w:footnote>
  <w:footnote w:id="12">
    <w:p w14:paraId="232B2691" w14:textId="00B6B693" w:rsidR="00985E94" w:rsidRDefault="00985E94">
      <w:pPr>
        <w:pStyle w:val="FootnoteText"/>
      </w:pPr>
      <w:r>
        <w:rPr>
          <w:rStyle w:val="FootnoteReference"/>
        </w:rPr>
        <w:footnoteRef/>
      </w:r>
      <w:r>
        <w:t xml:space="preserve"> See Canada Labour Code (R.S.C., 1985, c. L-2) Part II. </w:t>
      </w:r>
    </w:p>
  </w:footnote>
  <w:footnote w:id="13">
    <w:p w14:paraId="68E940F8" w14:textId="12DA4345" w:rsidR="00D15A66" w:rsidRPr="00D15A66" w:rsidRDefault="00985E94" w:rsidP="00D15A66">
      <w:pPr>
        <w:rPr>
          <w:sz w:val="20"/>
          <w:szCs w:val="20"/>
        </w:rPr>
      </w:pPr>
      <w:r>
        <w:rPr>
          <w:rStyle w:val="FootnoteReference"/>
        </w:rPr>
        <w:footnoteRef/>
      </w:r>
      <w:r>
        <w:t xml:space="preserve"> </w:t>
      </w:r>
      <w:r w:rsidR="00D15A66" w:rsidRPr="00D15A66">
        <w:rPr>
          <w:sz w:val="20"/>
          <w:szCs w:val="20"/>
        </w:rPr>
        <w:t>Halsbury’s Laws of Canada, Workplace Health and Safety (2015 reissue) at para HWS 4. </w:t>
      </w:r>
    </w:p>
    <w:p w14:paraId="2BA4533D" w14:textId="647B4A96" w:rsidR="00985E94" w:rsidRDefault="00985E94">
      <w:pPr>
        <w:pStyle w:val="FootnoteText"/>
      </w:pPr>
    </w:p>
  </w:footnote>
  <w:footnote w:id="14">
    <w:p w14:paraId="193A0CB5" w14:textId="6D48F282" w:rsidR="00147548" w:rsidRPr="00BF5530" w:rsidRDefault="00147548" w:rsidP="00BF5530">
      <w:r>
        <w:rPr>
          <w:rStyle w:val="FootnoteReference"/>
        </w:rPr>
        <w:footnoteRef/>
      </w:r>
      <w:r>
        <w:t xml:space="preserve"> </w:t>
      </w:r>
      <w:r w:rsidR="007F1433" w:rsidRPr="008E2ECA">
        <w:rPr>
          <w:color w:val="222222"/>
          <w:sz w:val="22"/>
          <w:szCs w:val="22"/>
          <w:shd w:val="clear" w:color="auto" w:fill="FFFFFF"/>
        </w:rPr>
        <w:t xml:space="preserve">Jensen, Olaf C., Jens FL </w:t>
      </w:r>
      <w:proofErr w:type="spellStart"/>
      <w:r w:rsidR="007F1433" w:rsidRPr="008E2ECA">
        <w:rPr>
          <w:color w:val="222222"/>
          <w:sz w:val="22"/>
          <w:szCs w:val="22"/>
          <w:shd w:val="clear" w:color="auto" w:fill="FFFFFF"/>
        </w:rPr>
        <w:t>Sørensen</w:t>
      </w:r>
      <w:proofErr w:type="spellEnd"/>
      <w:r w:rsidR="007F1433" w:rsidRPr="008E2ECA">
        <w:rPr>
          <w:color w:val="222222"/>
          <w:sz w:val="22"/>
          <w:szCs w:val="22"/>
          <w:shd w:val="clear" w:color="auto" w:fill="FFFFFF"/>
        </w:rPr>
        <w:t xml:space="preserve">, Linda </w:t>
      </w:r>
      <w:proofErr w:type="spellStart"/>
      <w:r w:rsidR="007F1433" w:rsidRPr="008E2ECA">
        <w:rPr>
          <w:color w:val="222222"/>
          <w:sz w:val="22"/>
          <w:szCs w:val="22"/>
          <w:shd w:val="clear" w:color="auto" w:fill="FFFFFF"/>
        </w:rPr>
        <w:t>Kaerlev</w:t>
      </w:r>
      <w:proofErr w:type="spellEnd"/>
      <w:r w:rsidR="007F1433" w:rsidRPr="008E2ECA">
        <w:rPr>
          <w:color w:val="222222"/>
          <w:sz w:val="22"/>
          <w:szCs w:val="22"/>
          <w:shd w:val="clear" w:color="auto" w:fill="FFFFFF"/>
        </w:rPr>
        <w:t xml:space="preserve">, M. Luisa Canals, </w:t>
      </w:r>
      <w:proofErr w:type="spellStart"/>
      <w:r w:rsidR="007F1433" w:rsidRPr="008E2ECA">
        <w:rPr>
          <w:color w:val="222222"/>
          <w:sz w:val="22"/>
          <w:szCs w:val="22"/>
          <w:shd w:val="clear" w:color="auto" w:fill="FFFFFF"/>
        </w:rPr>
        <w:t>Nebojša</w:t>
      </w:r>
      <w:proofErr w:type="spellEnd"/>
      <w:r w:rsidR="007F1433" w:rsidRPr="008E2ECA">
        <w:rPr>
          <w:color w:val="222222"/>
          <w:sz w:val="22"/>
          <w:szCs w:val="22"/>
          <w:shd w:val="clear" w:color="auto" w:fill="FFFFFF"/>
        </w:rPr>
        <w:t xml:space="preserve"> Nikolic, and </w:t>
      </w:r>
      <w:proofErr w:type="spellStart"/>
      <w:r w:rsidR="007F1433" w:rsidRPr="008E2ECA">
        <w:rPr>
          <w:color w:val="222222"/>
          <w:sz w:val="22"/>
          <w:szCs w:val="22"/>
          <w:shd w:val="clear" w:color="auto" w:fill="FFFFFF"/>
        </w:rPr>
        <w:t>Heikki</w:t>
      </w:r>
      <w:proofErr w:type="spellEnd"/>
      <w:r w:rsidR="007F1433" w:rsidRPr="008E2ECA">
        <w:rPr>
          <w:color w:val="222222"/>
          <w:sz w:val="22"/>
          <w:szCs w:val="22"/>
          <w:shd w:val="clear" w:color="auto" w:fill="FFFFFF"/>
        </w:rPr>
        <w:t xml:space="preserve"> </w:t>
      </w:r>
      <w:proofErr w:type="spellStart"/>
      <w:r w:rsidR="007F1433" w:rsidRPr="008E2ECA">
        <w:rPr>
          <w:color w:val="222222"/>
          <w:sz w:val="22"/>
          <w:szCs w:val="22"/>
          <w:shd w:val="clear" w:color="auto" w:fill="FFFFFF"/>
        </w:rPr>
        <w:t>Saarni</w:t>
      </w:r>
      <w:proofErr w:type="spellEnd"/>
      <w:r w:rsidR="007F1433" w:rsidRPr="008E2ECA">
        <w:rPr>
          <w:color w:val="222222"/>
          <w:sz w:val="22"/>
          <w:szCs w:val="22"/>
          <w:shd w:val="clear" w:color="auto" w:fill="FFFFFF"/>
        </w:rPr>
        <w:t>. "Self-reported injuries among seafarers: questionnaire validity and results from an international study." </w:t>
      </w:r>
      <w:r w:rsidR="007F1433" w:rsidRPr="008E2ECA">
        <w:rPr>
          <w:i/>
          <w:iCs/>
          <w:color w:val="222222"/>
          <w:sz w:val="22"/>
          <w:szCs w:val="22"/>
          <w:shd w:val="clear" w:color="auto" w:fill="FFFFFF"/>
        </w:rPr>
        <w:t>Accident Analysis &amp; Prevention</w:t>
      </w:r>
      <w:r w:rsidR="007F1433" w:rsidRPr="008E2ECA">
        <w:rPr>
          <w:color w:val="222222"/>
          <w:sz w:val="22"/>
          <w:szCs w:val="22"/>
          <w:shd w:val="clear" w:color="auto" w:fill="FFFFFF"/>
        </w:rPr>
        <w:t>36, no. 3 (2004): 405-413.</w:t>
      </w:r>
    </w:p>
  </w:footnote>
  <w:footnote w:id="15">
    <w:p w14:paraId="228F32CC" w14:textId="1522AB7F" w:rsidR="00F133B3" w:rsidRDefault="00F133B3" w:rsidP="00BF5530">
      <w:r>
        <w:rPr>
          <w:rStyle w:val="FootnoteReference"/>
        </w:rPr>
        <w:footnoteRef/>
      </w:r>
      <w:r>
        <w:t xml:space="preserve"> </w:t>
      </w:r>
      <w:r w:rsidRPr="00D43DF7">
        <w:rPr>
          <w:color w:val="222222"/>
          <w:sz w:val="22"/>
          <w:szCs w:val="22"/>
          <w:shd w:val="clear" w:color="auto" w:fill="FFFFFF"/>
        </w:rPr>
        <w:t xml:space="preserve">Hansen, Henrik </w:t>
      </w:r>
      <w:proofErr w:type="spellStart"/>
      <w:r w:rsidRPr="00D43DF7">
        <w:rPr>
          <w:color w:val="222222"/>
          <w:sz w:val="22"/>
          <w:szCs w:val="22"/>
          <w:shd w:val="clear" w:color="auto" w:fill="FFFFFF"/>
        </w:rPr>
        <w:t>Lyngbeck</w:t>
      </w:r>
      <w:proofErr w:type="spellEnd"/>
      <w:r w:rsidRPr="00D43DF7">
        <w:rPr>
          <w:color w:val="222222"/>
          <w:sz w:val="22"/>
          <w:szCs w:val="22"/>
          <w:shd w:val="clear" w:color="auto" w:fill="FFFFFF"/>
        </w:rPr>
        <w:t>, D. Nielsen, and Morten Frydenberg. "Occupational accidents aboard merchant ships." </w:t>
      </w:r>
      <w:r w:rsidRPr="00D43DF7">
        <w:rPr>
          <w:i/>
          <w:iCs/>
          <w:color w:val="222222"/>
          <w:sz w:val="22"/>
          <w:szCs w:val="22"/>
          <w:shd w:val="clear" w:color="auto" w:fill="FFFFFF"/>
        </w:rPr>
        <w:t>Occupational and environmental medicine</w:t>
      </w:r>
      <w:r w:rsidRPr="00D43DF7">
        <w:rPr>
          <w:color w:val="222222"/>
          <w:sz w:val="22"/>
          <w:szCs w:val="22"/>
          <w:shd w:val="clear" w:color="auto" w:fill="FFFFFF"/>
        </w:rPr>
        <w:t> 59, no. 2 (2002): 85-91.</w:t>
      </w:r>
    </w:p>
  </w:footnote>
  <w:footnote w:id="16">
    <w:p w14:paraId="47A8D8DE" w14:textId="57E864AB" w:rsidR="00B71147" w:rsidRPr="00D43DF7" w:rsidRDefault="00B71147" w:rsidP="00BF5530">
      <w:pPr>
        <w:rPr>
          <w:sz w:val="22"/>
          <w:szCs w:val="22"/>
        </w:rPr>
      </w:pPr>
      <w:r>
        <w:rPr>
          <w:rStyle w:val="FootnoteReference"/>
        </w:rPr>
        <w:footnoteRef/>
      </w:r>
      <w:r>
        <w:t xml:space="preserve"> </w:t>
      </w:r>
      <w:r w:rsidR="00880B78" w:rsidRPr="00D43DF7">
        <w:rPr>
          <w:color w:val="222222"/>
          <w:sz w:val="22"/>
          <w:szCs w:val="22"/>
          <w:shd w:val="clear" w:color="auto" w:fill="FFFFFF"/>
        </w:rPr>
        <w:t xml:space="preserve">Roberts, Stephen E., D. Nielsen, A. </w:t>
      </w:r>
      <w:proofErr w:type="spellStart"/>
      <w:r w:rsidR="00880B78" w:rsidRPr="00D43DF7">
        <w:rPr>
          <w:color w:val="222222"/>
          <w:sz w:val="22"/>
          <w:szCs w:val="22"/>
          <w:shd w:val="clear" w:color="auto" w:fill="FFFFFF"/>
        </w:rPr>
        <w:t>Kotłowski</w:t>
      </w:r>
      <w:proofErr w:type="spellEnd"/>
      <w:r w:rsidR="00880B78" w:rsidRPr="00D43DF7">
        <w:rPr>
          <w:color w:val="222222"/>
          <w:sz w:val="22"/>
          <w:szCs w:val="22"/>
          <w:shd w:val="clear" w:color="auto" w:fill="FFFFFF"/>
        </w:rPr>
        <w:t xml:space="preserve">, and Bogdan </w:t>
      </w:r>
      <w:proofErr w:type="spellStart"/>
      <w:r w:rsidR="00880B78" w:rsidRPr="00D43DF7">
        <w:rPr>
          <w:color w:val="222222"/>
          <w:sz w:val="22"/>
          <w:szCs w:val="22"/>
          <w:shd w:val="clear" w:color="auto" w:fill="FFFFFF"/>
        </w:rPr>
        <w:t>Jaremin</w:t>
      </w:r>
      <w:proofErr w:type="spellEnd"/>
      <w:r w:rsidR="00880B78" w:rsidRPr="00D43DF7">
        <w:rPr>
          <w:color w:val="222222"/>
          <w:sz w:val="22"/>
          <w:szCs w:val="22"/>
          <w:shd w:val="clear" w:color="auto" w:fill="FFFFFF"/>
        </w:rPr>
        <w:t>. "Fatal accidents and injuries among merchant seafarers worldwide." </w:t>
      </w:r>
      <w:r w:rsidR="00880B78" w:rsidRPr="00D43DF7">
        <w:rPr>
          <w:i/>
          <w:iCs/>
          <w:color w:val="222222"/>
          <w:sz w:val="22"/>
          <w:szCs w:val="22"/>
          <w:shd w:val="clear" w:color="auto" w:fill="FFFFFF"/>
        </w:rPr>
        <w:t>Occupational medicine</w:t>
      </w:r>
      <w:r w:rsidR="00880B78" w:rsidRPr="00D43DF7">
        <w:rPr>
          <w:color w:val="222222"/>
          <w:sz w:val="22"/>
          <w:szCs w:val="22"/>
          <w:shd w:val="clear" w:color="auto" w:fill="FFFFFF"/>
        </w:rPr>
        <w:t> 64, no. 4 (2014): 259-266.</w:t>
      </w:r>
    </w:p>
  </w:footnote>
  <w:footnote w:id="17">
    <w:p w14:paraId="61DC6399" w14:textId="1587D942" w:rsidR="005260DC" w:rsidRPr="00D43DF7" w:rsidRDefault="005260DC" w:rsidP="00BF5530">
      <w:pPr>
        <w:rPr>
          <w:sz w:val="22"/>
          <w:szCs w:val="22"/>
        </w:rPr>
      </w:pPr>
      <w:r>
        <w:rPr>
          <w:rStyle w:val="FootnoteReference"/>
        </w:rPr>
        <w:footnoteRef/>
      </w:r>
      <w:r>
        <w:t xml:space="preserve"> </w:t>
      </w:r>
      <w:r w:rsidR="004620E5" w:rsidRPr="00D43DF7">
        <w:rPr>
          <w:color w:val="222222"/>
          <w:sz w:val="22"/>
          <w:szCs w:val="22"/>
          <w:shd w:val="clear" w:color="auto" w:fill="FFFFFF"/>
        </w:rPr>
        <w:t>Roberts, Stephen E. "Britain's most hazardous occupation: commercial fishing." </w:t>
      </w:r>
      <w:r w:rsidR="004620E5" w:rsidRPr="00D43DF7">
        <w:rPr>
          <w:i/>
          <w:iCs/>
          <w:color w:val="222222"/>
          <w:sz w:val="22"/>
          <w:szCs w:val="22"/>
          <w:shd w:val="clear" w:color="auto" w:fill="FFFFFF"/>
        </w:rPr>
        <w:t>Accident Analysis &amp; Prevention</w:t>
      </w:r>
      <w:r w:rsidR="004620E5" w:rsidRPr="00D43DF7">
        <w:rPr>
          <w:color w:val="222222"/>
          <w:sz w:val="22"/>
          <w:szCs w:val="22"/>
          <w:shd w:val="clear" w:color="auto" w:fill="FFFFFF"/>
        </w:rPr>
        <w:t> 42, no. 1 (2010): 44-49.</w:t>
      </w:r>
    </w:p>
  </w:footnote>
  <w:footnote w:id="18">
    <w:p w14:paraId="2D65FE42" w14:textId="232E0745" w:rsidR="00505A6C" w:rsidRPr="00D43DF7" w:rsidRDefault="00505A6C" w:rsidP="00BF5530">
      <w:pPr>
        <w:rPr>
          <w:sz w:val="22"/>
          <w:szCs w:val="22"/>
        </w:rPr>
      </w:pPr>
      <w:r>
        <w:rPr>
          <w:rStyle w:val="FootnoteReference"/>
        </w:rPr>
        <w:footnoteRef/>
      </w:r>
      <w:r>
        <w:t xml:space="preserve"> </w:t>
      </w:r>
      <w:r w:rsidR="00A37235" w:rsidRPr="00D43DF7">
        <w:rPr>
          <w:color w:val="222222"/>
          <w:sz w:val="22"/>
          <w:szCs w:val="22"/>
          <w:shd w:val="clear" w:color="auto" w:fill="FFFFFF"/>
        </w:rPr>
        <w:t xml:space="preserve">Jensen, Olaf CC, Gudrun </w:t>
      </w:r>
      <w:proofErr w:type="spellStart"/>
      <w:r w:rsidR="00A37235" w:rsidRPr="00D43DF7">
        <w:rPr>
          <w:color w:val="222222"/>
          <w:sz w:val="22"/>
          <w:szCs w:val="22"/>
          <w:shd w:val="clear" w:color="auto" w:fill="FFFFFF"/>
        </w:rPr>
        <w:t>Petursdottir</w:t>
      </w:r>
      <w:proofErr w:type="spellEnd"/>
      <w:r w:rsidR="00A37235" w:rsidRPr="00D43DF7">
        <w:rPr>
          <w:color w:val="222222"/>
          <w:sz w:val="22"/>
          <w:szCs w:val="22"/>
          <w:shd w:val="clear" w:color="auto" w:fill="FFFFFF"/>
        </w:rPr>
        <w:t xml:space="preserve">, </w:t>
      </w:r>
      <w:proofErr w:type="spellStart"/>
      <w:r w:rsidR="00A37235" w:rsidRPr="00D43DF7">
        <w:rPr>
          <w:color w:val="222222"/>
          <w:sz w:val="22"/>
          <w:szCs w:val="22"/>
          <w:shd w:val="clear" w:color="auto" w:fill="FFFFFF"/>
        </w:rPr>
        <w:t>Ingunn</w:t>
      </w:r>
      <w:proofErr w:type="spellEnd"/>
      <w:r w:rsidR="00A37235" w:rsidRPr="00D43DF7">
        <w:rPr>
          <w:color w:val="222222"/>
          <w:sz w:val="22"/>
          <w:szCs w:val="22"/>
          <w:shd w:val="clear" w:color="auto" w:fill="FFFFFF"/>
        </w:rPr>
        <w:t xml:space="preserve"> Marie Holmen, </w:t>
      </w:r>
      <w:proofErr w:type="spellStart"/>
      <w:r w:rsidR="00A37235" w:rsidRPr="00D43DF7">
        <w:rPr>
          <w:color w:val="222222"/>
          <w:sz w:val="22"/>
          <w:szCs w:val="22"/>
          <w:shd w:val="clear" w:color="auto" w:fill="FFFFFF"/>
        </w:rPr>
        <w:t>Annbjørg</w:t>
      </w:r>
      <w:proofErr w:type="spellEnd"/>
      <w:r w:rsidR="00A37235" w:rsidRPr="00D43DF7">
        <w:rPr>
          <w:color w:val="222222"/>
          <w:sz w:val="22"/>
          <w:szCs w:val="22"/>
          <w:shd w:val="clear" w:color="auto" w:fill="FFFFFF"/>
        </w:rPr>
        <w:t xml:space="preserve"> Abrahamsen, and Jennifer Lincoln. "A review of fatal accident incidence rate trends in fishing." </w:t>
      </w:r>
      <w:r w:rsidR="00A37235" w:rsidRPr="00D43DF7">
        <w:rPr>
          <w:i/>
          <w:iCs/>
          <w:color w:val="222222"/>
          <w:sz w:val="22"/>
          <w:szCs w:val="22"/>
          <w:shd w:val="clear" w:color="auto" w:fill="FFFFFF"/>
        </w:rPr>
        <w:t>International maritime health</w:t>
      </w:r>
      <w:r w:rsidR="00A37235" w:rsidRPr="00D43DF7">
        <w:rPr>
          <w:color w:val="222222"/>
          <w:sz w:val="22"/>
          <w:szCs w:val="22"/>
          <w:shd w:val="clear" w:color="auto" w:fill="FFFFFF"/>
        </w:rPr>
        <w:t> 65, no. 2 (2014): 47-52.</w:t>
      </w:r>
    </w:p>
  </w:footnote>
  <w:footnote w:id="19">
    <w:p w14:paraId="5D6B08D9" w14:textId="77777777" w:rsidR="00B34308" w:rsidRDefault="00E13079" w:rsidP="00B34308">
      <w:r>
        <w:rPr>
          <w:rStyle w:val="FootnoteReference"/>
        </w:rPr>
        <w:footnoteRef/>
      </w:r>
      <w:r>
        <w:t xml:space="preserve"> </w:t>
      </w:r>
      <w:proofErr w:type="spellStart"/>
      <w:r w:rsidR="00B34308" w:rsidRPr="00B34308">
        <w:rPr>
          <w:color w:val="222222"/>
          <w:sz w:val="22"/>
          <w:szCs w:val="22"/>
          <w:shd w:val="clear" w:color="auto" w:fill="FFFFFF"/>
        </w:rPr>
        <w:t>DeSombre</w:t>
      </w:r>
      <w:proofErr w:type="spellEnd"/>
      <w:r w:rsidR="00B34308" w:rsidRPr="00B34308">
        <w:rPr>
          <w:color w:val="222222"/>
          <w:sz w:val="22"/>
          <w:szCs w:val="22"/>
          <w:shd w:val="clear" w:color="auto" w:fill="FFFFFF"/>
        </w:rPr>
        <w:t>, Elizabeth R. "Flagging standards: globalization and environmental, safety, and labor regulations at sea." </w:t>
      </w:r>
      <w:r w:rsidR="00B34308" w:rsidRPr="00B34308">
        <w:rPr>
          <w:i/>
          <w:iCs/>
          <w:color w:val="222222"/>
          <w:sz w:val="22"/>
          <w:szCs w:val="22"/>
          <w:shd w:val="clear" w:color="auto" w:fill="FFFFFF"/>
        </w:rPr>
        <w:t>MIT Press Books</w:t>
      </w:r>
      <w:r w:rsidR="00B34308" w:rsidRPr="00B34308">
        <w:rPr>
          <w:color w:val="222222"/>
          <w:sz w:val="22"/>
          <w:szCs w:val="22"/>
          <w:shd w:val="clear" w:color="auto" w:fill="FFFFFF"/>
        </w:rPr>
        <w:t> 1 (2006).</w:t>
      </w:r>
    </w:p>
    <w:p w14:paraId="164A4E7E" w14:textId="3419423C" w:rsidR="00E13079" w:rsidRDefault="00E13079">
      <w:pPr>
        <w:pStyle w:val="FootnoteText"/>
      </w:pPr>
    </w:p>
  </w:footnote>
  <w:footnote w:id="20">
    <w:p w14:paraId="10E1382C" w14:textId="77777777" w:rsidR="00967733" w:rsidRPr="00880B78" w:rsidRDefault="00967733" w:rsidP="00967733">
      <w:r>
        <w:rPr>
          <w:rStyle w:val="FootnoteReference"/>
        </w:rPr>
        <w:footnoteRef/>
      </w:r>
      <w:r>
        <w:t xml:space="preserve"> </w:t>
      </w:r>
      <w:r w:rsidRPr="002A1972">
        <w:rPr>
          <w:color w:val="222222"/>
          <w:sz w:val="22"/>
          <w:szCs w:val="22"/>
          <w:shd w:val="clear" w:color="auto" w:fill="FFFFFF"/>
        </w:rPr>
        <w:t xml:space="preserve">Roberts, Stephen E., D. Nielsen, A. </w:t>
      </w:r>
      <w:proofErr w:type="spellStart"/>
      <w:r w:rsidRPr="002A1972">
        <w:rPr>
          <w:color w:val="222222"/>
          <w:sz w:val="22"/>
          <w:szCs w:val="22"/>
          <w:shd w:val="clear" w:color="auto" w:fill="FFFFFF"/>
        </w:rPr>
        <w:t>Kotłowski</w:t>
      </w:r>
      <w:proofErr w:type="spellEnd"/>
      <w:r w:rsidRPr="002A1972">
        <w:rPr>
          <w:color w:val="222222"/>
          <w:sz w:val="22"/>
          <w:szCs w:val="22"/>
          <w:shd w:val="clear" w:color="auto" w:fill="FFFFFF"/>
        </w:rPr>
        <w:t xml:space="preserve">, and Bogdan </w:t>
      </w:r>
      <w:proofErr w:type="spellStart"/>
      <w:r w:rsidRPr="002A1972">
        <w:rPr>
          <w:color w:val="222222"/>
          <w:sz w:val="22"/>
          <w:szCs w:val="22"/>
          <w:shd w:val="clear" w:color="auto" w:fill="FFFFFF"/>
        </w:rPr>
        <w:t>Jaremin</w:t>
      </w:r>
      <w:proofErr w:type="spellEnd"/>
      <w:r w:rsidRPr="002A1972">
        <w:rPr>
          <w:color w:val="222222"/>
          <w:sz w:val="22"/>
          <w:szCs w:val="22"/>
          <w:shd w:val="clear" w:color="auto" w:fill="FFFFFF"/>
        </w:rPr>
        <w:t>. "Fatal accidents and injuries among merchant seafarers worldwide." </w:t>
      </w:r>
      <w:r w:rsidRPr="002A1972">
        <w:rPr>
          <w:i/>
          <w:iCs/>
          <w:color w:val="222222"/>
          <w:sz w:val="22"/>
          <w:szCs w:val="22"/>
          <w:shd w:val="clear" w:color="auto" w:fill="FFFFFF"/>
        </w:rPr>
        <w:t>Occupational medicine</w:t>
      </w:r>
      <w:r w:rsidRPr="002A1972">
        <w:rPr>
          <w:color w:val="222222"/>
          <w:sz w:val="22"/>
          <w:szCs w:val="22"/>
          <w:shd w:val="clear" w:color="auto" w:fill="FFFFFF"/>
        </w:rPr>
        <w:t> 64, no. 4 (2014): 259-266.</w:t>
      </w:r>
    </w:p>
    <w:p w14:paraId="18FCB7AF" w14:textId="7E205BC4" w:rsidR="00967733" w:rsidRDefault="00967733">
      <w:pPr>
        <w:pStyle w:val="FootnoteText"/>
      </w:pPr>
    </w:p>
  </w:footnote>
  <w:footnote w:id="21">
    <w:p w14:paraId="3E6CC3E2" w14:textId="5C4B3058" w:rsidR="00BF5530" w:rsidRDefault="00BF5530">
      <w:pPr>
        <w:pStyle w:val="FootnoteText"/>
      </w:pPr>
      <w:r>
        <w:rPr>
          <w:rStyle w:val="FootnoteReference"/>
        </w:rPr>
        <w:footnoteRef/>
      </w:r>
      <w:r>
        <w:t xml:space="preserve"> </w:t>
      </w:r>
      <w:r w:rsidR="002A1972" w:rsidRPr="002A1972">
        <w:rPr>
          <w:color w:val="222222"/>
          <w:sz w:val="22"/>
          <w:szCs w:val="22"/>
          <w:shd w:val="clear" w:color="auto" w:fill="FFFFFF"/>
        </w:rPr>
        <w:t xml:space="preserve">Ibid. </w:t>
      </w:r>
    </w:p>
  </w:footnote>
  <w:footnote w:id="22">
    <w:p w14:paraId="7A9D1E4C" w14:textId="2C1973FC" w:rsidR="001A6E6F" w:rsidRDefault="001A6E6F">
      <w:pPr>
        <w:pStyle w:val="FootnoteText"/>
      </w:pPr>
      <w:r>
        <w:rPr>
          <w:rStyle w:val="FootnoteReference"/>
        </w:rPr>
        <w:footnoteRef/>
      </w:r>
      <w:r>
        <w:t xml:space="preserve"> Ibid</w:t>
      </w:r>
    </w:p>
  </w:footnote>
  <w:footnote w:id="23">
    <w:p w14:paraId="1B34A030" w14:textId="1EFF580F" w:rsidR="00AA113A" w:rsidRPr="004F3DA9" w:rsidRDefault="00AA113A" w:rsidP="0099519A">
      <w:pPr>
        <w:rPr>
          <w:sz w:val="22"/>
          <w:szCs w:val="22"/>
        </w:rPr>
      </w:pPr>
      <w:r>
        <w:rPr>
          <w:rStyle w:val="FootnoteReference"/>
        </w:rPr>
        <w:footnoteRef/>
      </w:r>
      <w:r>
        <w:t xml:space="preserve"> </w:t>
      </w:r>
      <w:r w:rsidRPr="004F3DA9">
        <w:rPr>
          <w:color w:val="222222"/>
          <w:sz w:val="22"/>
          <w:szCs w:val="22"/>
          <w:shd w:val="clear" w:color="auto" w:fill="FFFFFF"/>
        </w:rPr>
        <w:t xml:space="preserve">Jensen, Olaf CC, Gudrun </w:t>
      </w:r>
      <w:proofErr w:type="spellStart"/>
      <w:r w:rsidRPr="004F3DA9">
        <w:rPr>
          <w:color w:val="222222"/>
          <w:sz w:val="22"/>
          <w:szCs w:val="22"/>
          <w:shd w:val="clear" w:color="auto" w:fill="FFFFFF"/>
        </w:rPr>
        <w:t>Petursdottir</w:t>
      </w:r>
      <w:proofErr w:type="spellEnd"/>
      <w:r w:rsidRPr="004F3DA9">
        <w:rPr>
          <w:color w:val="222222"/>
          <w:sz w:val="22"/>
          <w:szCs w:val="22"/>
          <w:shd w:val="clear" w:color="auto" w:fill="FFFFFF"/>
        </w:rPr>
        <w:t xml:space="preserve">, </w:t>
      </w:r>
      <w:proofErr w:type="spellStart"/>
      <w:r w:rsidRPr="004F3DA9">
        <w:rPr>
          <w:color w:val="222222"/>
          <w:sz w:val="22"/>
          <w:szCs w:val="22"/>
          <w:shd w:val="clear" w:color="auto" w:fill="FFFFFF"/>
        </w:rPr>
        <w:t>Ingunn</w:t>
      </w:r>
      <w:proofErr w:type="spellEnd"/>
      <w:r w:rsidRPr="004F3DA9">
        <w:rPr>
          <w:color w:val="222222"/>
          <w:sz w:val="22"/>
          <w:szCs w:val="22"/>
          <w:shd w:val="clear" w:color="auto" w:fill="FFFFFF"/>
        </w:rPr>
        <w:t xml:space="preserve"> Marie Holmen, </w:t>
      </w:r>
      <w:proofErr w:type="spellStart"/>
      <w:r w:rsidRPr="004F3DA9">
        <w:rPr>
          <w:color w:val="222222"/>
          <w:sz w:val="22"/>
          <w:szCs w:val="22"/>
          <w:shd w:val="clear" w:color="auto" w:fill="FFFFFF"/>
        </w:rPr>
        <w:t>Annbjørg</w:t>
      </w:r>
      <w:proofErr w:type="spellEnd"/>
      <w:r w:rsidRPr="004F3DA9">
        <w:rPr>
          <w:color w:val="222222"/>
          <w:sz w:val="22"/>
          <w:szCs w:val="22"/>
          <w:shd w:val="clear" w:color="auto" w:fill="FFFFFF"/>
        </w:rPr>
        <w:t xml:space="preserve"> Abrahamsen, and Jennifer Lincoln. "A review of fatal accident incidence rate trends in fishing." </w:t>
      </w:r>
      <w:r w:rsidRPr="004F3DA9">
        <w:rPr>
          <w:i/>
          <w:iCs/>
          <w:color w:val="222222"/>
          <w:sz w:val="22"/>
          <w:szCs w:val="22"/>
          <w:shd w:val="clear" w:color="auto" w:fill="FFFFFF"/>
        </w:rPr>
        <w:t>International maritime health</w:t>
      </w:r>
      <w:r w:rsidRPr="004F3DA9">
        <w:rPr>
          <w:color w:val="222222"/>
          <w:sz w:val="22"/>
          <w:szCs w:val="22"/>
          <w:shd w:val="clear" w:color="auto" w:fill="FFFFFF"/>
        </w:rPr>
        <w:t> 65, no. 2 (2014): 47-52.</w:t>
      </w:r>
    </w:p>
  </w:footnote>
  <w:footnote w:id="24">
    <w:p w14:paraId="36774743" w14:textId="1563578B" w:rsidR="00F74DB5" w:rsidRPr="004F3DA9" w:rsidRDefault="00F74DB5" w:rsidP="00172D0E">
      <w:pPr>
        <w:autoSpaceDE w:val="0"/>
        <w:autoSpaceDN w:val="0"/>
        <w:adjustRightInd w:val="0"/>
        <w:rPr>
          <w:rFonts w:eastAsiaTheme="minorEastAsia"/>
          <w:sz w:val="22"/>
          <w:szCs w:val="22"/>
          <w:lang w:val="en-US"/>
        </w:rPr>
      </w:pPr>
      <w:r>
        <w:rPr>
          <w:rStyle w:val="FootnoteReference"/>
        </w:rPr>
        <w:footnoteRef/>
      </w:r>
      <w:r>
        <w:t xml:space="preserve"> </w:t>
      </w:r>
      <w:r w:rsidR="00172D0E" w:rsidRPr="004F3DA9">
        <w:rPr>
          <w:rFonts w:eastAsiaTheme="minorEastAsia"/>
          <w:sz w:val="22"/>
          <w:szCs w:val="22"/>
          <w:lang w:val="en-US"/>
        </w:rPr>
        <w:t>Roberts SE, Williams JC. Update of Mortality for Workers in the UK Merchant Shipping and Fishing Sectors. Southampton, UK: Maritime and Coastguard Agency, 2007.</w:t>
      </w:r>
    </w:p>
  </w:footnote>
  <w:footnote w:id="25">
    <w:p w14:paraId="1F844B3C" w14:textId="445EB319" w:rsidR="00F7064C" w:rsidRPr="004F3DA9" w:rsidRDefault="00F7064C" w:rsidP="0099519A">
      <w:pPr>
        <w:rPr>
          <w:sz w:val="22"/>
          <w:szCs w:val="22"/>
        </w:rPr>
      </w:pPr>
      <w:r>
        <w:rPr>
          <w:rStyle w:val="FootnoteReference"/>
        </w:rPr>
        <w:footnoteRef/>
      </w:r>
      <w:r>
        <w:t xml:space="preserve"> </w:t>
      </w:r>
      <w:proofErr w:type="spellStart"/>
      <w:r w:rsidR="00D54E7F" w:rsidRPr="004F3DA9">
        <w:rPr>
          <w:color w:val="222222"/>
          <w:sz w:val="22"/>
          <w:szCs w:val="22"/>
          <w:shd w:val="clear" w:color="auto" w:fill="FFFFFF"/>
        </w:rPr>
        <w:t>Rezaee</w:t>
      </w:r>
      <w:proofErr w:type="spellEnd"/>
      <w:r w:rsidR="00D54E7F" w:rsidRPr="004F3DA9">
        <w:rPr>
          <w:color w:val="222222"/>
          <w:sz w:val="22"/>
          <w:szCs w:val="22"/>
          <w:shd w:val="clear" w:color="auto" w:fill="FFFFFF"/>
        </w:rPr>
        <w:t xml:space="preserve">, Sara, Ronald </w:t>
      </w:r>
      <w:proofErr w:type="spellStart"/>
      <w:r w:rsidR="00D54E7F" w:rsidRPr="004F3DA9">
        <w:rPr>
          <w:color w:val="222222"/>
          <w:sz w:val="22"/>
          <w:szCs w:val="22"/>
          <w:shd w:val="clear" w:color="auto" w:fill="FFFFFF"/>
        </w:rPr>
        <w:t>Pelot</w:t>
      </w:r>
      <w:proofErr w:type="spellEnd"/>
      <w:r w:rsidR="00D54E7F" w:rsidRPr="004F3DA9">
        <w:rPr>
          <w:color w:val="222222"/>
          <w:sz w:val="22"/>
          <w:szCs w:val="22"/>
          <w:shd w:val="clear" w:color="auto" w:fill="FFFFFF"/>
        </w:rPr>
        <w:t xml:space="preserve">, and Alireza </w:t>
      </w:r>
      <w:proofErr w:type="spellStart"/>
      <w:r w:rsidR="00D54E7F" w:rsidRPr="004F3DA9">
        <w:rPr>
          <w:color w:val="222222"/>
          <w:sz w:val="22"/>
          <w:szCs w:val="22"/>
          <w:shd w:val="clear" w:color="auto" w:fill="FFFFFF"/>
        </w:rPr>
        <w:t>Ghasemi</w:t>
      </w:r>
      <w:proofErr w:type="spellEnd"/>
      <w:r w:rsidR="00D54E7F" w:rsidRPr="004F3DA9">
        <w:rPr>
          <w:color w:val="222222"/>
          <w:sz w:val="22"/>
          <w:szCs w:val="22"/>
          <w:shd w:val="clear" w:color="auto" w:fill="FFFFFF"/>
        </w:rPr>
        <w:t>. "The effect of extreme weather conditions on commercial fishing activities and vessel incidents in Atlantic Canada." </w:t>
      </w:r>
      <w:r w:rsidR="00D54E7F" w:rsidRPr="004F3DA9">
        <w:rPr>
          <w:i/>
          <w:iCs/>
          <w:color w:val="222222"/>
          <w:sz w:val="22"/>
          <w:szCs w:val="22"/>
          <w:shd w:val="clear" w:color="auto" w:fill="FFFFFF"/>
        </w:rPr>
        <w:t>Ocean &amp; coastal management</w:t>
      </w:r>
      <w:r w:rsidR="00D54E7F" w:rsidRPr="004F3DA9">
        <w:rPr>
          <w:color w:val="222222"/>
          <w:sz w:val="22"/>
          <w:szCs w:val="22"/>
          <w:shd w:val="clear" w:color="auto" w:fill="FFFFFF"/>
        </w:rPr>
        <w:t> 130 (2016): 115-127.</w:t>
      </w:r>
    </w:p>
  </w:footnote>
  <w:footnote w:id="26">
    <w:p w14:paraId="42136DE4" w14:textId="462B7F3F" w:rsidR="00104EF4" w:rsidRDefault="00104EF4">
      <w:pPr>
        <w:pStyle w:val="FootnoteText"/>
      </w:pPr>
      <w:r>
        <w:rPr>
          <w:rStyle w:val="FootnoteReference"/>
        </w:rPr>
        <w:footnoteRef/>
      </w:r>
      <w:r>
        <w:t xml:space="preserve"> </w:t>
      </w:r>
      <w:r w:rsidR="0099519A" w:rsidRPr="004F3DA9">
        <w:rPr>
          <w:sz w:val="22"/>
          <w:szCs w:val="22"/>
        </w:rPr>
        <w:t>Transport Safety Board (2012) Marine Investigation Report: Safety Issues Investigation into Fishing Safety in Canada</w:t>
      </w:r>
    </w:p>
  </w:footnote>
  <w:footnote w:id="27">
    <w:p w14:paraId="138DAB68" w14:textId="0DBD6A0F" w:rsidR="00D2010A" w:rsidRPr="003272B0" w:rsidRDefault="00D2010A" w:rsidP="00D2010A">
      <w:pPr>
        <w:rPr>
          <w:color w:val="000000" w:themeColor="text1"/>
        </w:rPr>
      </w:pPr>
      <w:r w:rsidRPr="003272B0">
        <w:rPr>
          <w:rStyle w:val="FootnoteReference"/>
          <w:color w:val="000000" w:themeColor="text1"/>
        </w:rPr>
        <w:footnoteRef/>
      </w:r>
      <w:r w:rsidRPr="003272B0">
        <w:rPr>
          <w:color w:val="000000" w:themeColor="text1"/>
        </w:rPr>
        <w:t xml:space="preserve"> </w:t>
      </w:r>
      <w:r w:rsidRPr="003272B0">
        <w:rPr>
          <w:color w:val="000000" w:themeColor="text1"/>
          <w:sz w:val="22"/>
          <w:szCs w:val="22"/>
        </w:rPr>
        <w:t xml:space="preserve">Shan, Desai, and Katherine </w:t>
      </w:r>
      <w:proofErr w:type="spellStart"/>
      <w:r w:rsidRPr="003272B0">
        <w:rPr>
          <w:color w:val="000000" w:themeColor="text1"/>
          <w:sz w:val="22"/>
          <w:szCs w:val="22"/>
        </w:rPr>
        <w:t>Lippel</w:t>
      </w:r>
      <w:proofErr w:type="spellEnd"/>
      <w:r w:rsidRPr="003272B0">
        <w:rPr>
          <w:color w:val="000000" w:themeColor="text1"/>
          <w:sz w:val="22"/>
          <w:szCs w:val="22"/>
        </w:rPr>
        <w:t xml:space="preserve">. “Occupational Health and Safety Challenges </w:t>
      </w:r>
      <w:proofErr w:type="gramStart"/>
      <w:r w:rsidRPr="003272B0">
        <w:rPr>
          <w:color w:val="000000" w:themeColor="text1"/>
          <w:sz w:val="22"/>
          <w:szCs w:val="22"/>
        </w:rPr>
        <w:t>From</w:t>
      </w:r>
      <w:proofErr w:type="gramEnd"/>
      <w:r w:rsidRPr="003272B0">
        <w:rPr>
          <w:color w:val="000000" w:themeColor="text1"/>
          <w:sz w:val="22"/>
          <w:szCs w:val="22"/>
        </w:rPr>
        <w:t xml:space="preserve"> Employment-Related Geographical Mobility Among Canadian Seafarers on the Great Lakes and St. Lawrence Seaway.” NEW SOLUTIONS: A Journal of Environmental and Occupational Health Policy, Aug. 2019, doi:</w:t>
      </w:r>
      <w:hyperlink r:id="rId8" w:history="1">
        <w:r w:rsidRPr="003272B0">
          <w:rPr>
            <w:color w:val="000000" w:themeColor="text1"/>
            <w:sz w:val="22"/>
            <w:szCs w:val="22"/>
          </w:rPr>
          <w:t>10.1177/1048291119870762</w:t>
        </w:r>
      </w:hyperlink>
      <w:r w:rsidRPr="003272B0">
        <w:rPr>
          <w:color w:val="000000" w:themeColor="text1"/>
          <w:sz w:val="22"/>
          <w:szCs w:val="22"/>
        </w:rPr>
        <w:t>.</w:t>
      </w:r>
    </w:p>
  </w:footnote>
  <w:footnote w:id="28">
    <w:p w14:paraId="38A68133" w14:textId="77777777" w:rsidR="0074218A" w:rsidRPr="003272B0" w:rsidRDefault="003771CB" w:rsidP="0074218A">
      <w:pPr>
        <w:rPr>
          <w:color w:val="000000" w:themeColor="text1"/>
        </w:rPr>
      </w:pPr>
      <w:r w:rsidRPr="003272B0">
        <w:rPr>
          <w:rStyle w:val="FootnoteReference"/>
          <w:color w:val="000000" w:themeColor="text1"/>
        </w:rPr>
        <w:footnoteRef/>
      </w:r>
      <w:r w:rsidRPr="003272B0">
        <w:rPr>
          <w:color w:val="000000" w:themeColor="text1"/>
        </w:rPr>
        <w:t xml:space="preserve"> </w:t>
      </w:r>
      <w:proofErr w:type="spellStart"/>
      <w:r w:rsidR="0074218A" w:rsidRPr="003272B0">
        <w:rPr>
          <w:color w:val="000000" w:themeColor="text1"/>
          <w:sz w:val="22"/>
          <w:szCs w:val="22"/>
          <w:shd w:val="clear" w:color="auto" w:fill="FFFFFF"/>
        </w:rPr>
        <w:t>Pauksztat</w:t>
      </w:r>
      <w:proofErr w:type="spellEnd"/>
      <w:r w:rsidR="0074218A" w:rsidRPr="003272B0">
        <w:rPr>
          <w:color w:val="000000" w:themeColor="text1"/>
          <w:sz w:val="22"/>
          <w:szCs w:val="22"/>
          <w:shd w:val="clear" w:color="auto" w:fill="FFFFFF"/>
        </w:rPr>
        <w:t>, Birgit. "‘Only work and sleep’: seafarers’ perceptions of job demands of short sea cargo shipping lines and their effects on work and life on board." </w:t>
      </w:r>
      <w:r w:rsidR="0074218A" w:rsidRPr="003272B0">
        <w:rPr>
          <w:i/>
          <w:iCs/>
          <w:color w:val="000000" w:themeColor="text1"/>
          <w:sz w:val="22"/>
          <w:szCs w:val="22"/>
          <w:shd w:val="clear" w:color="auto" w:fill="FFFFFF"/>
        </w:rPr>
        <w:t>Maritime Policy &amp; Management</w:t>
      </w:r>
      <w:r w:rsidR="0074218A" w:rsidRPr="003272B0">
        <w:rPr>
          <w:color w:val="000000" w:themeColor="text1"/>
          <w:sz w:val="22"/>
          <w:szCs w:val="22"/>
          <w:shd w:val="clear" w:color="auto" w:fill="FFFFFF"/>
        </w:rPr>
        <w:t> 44, no. 7 (2017): 899-915.</w:t>
      </w:r>
    </w:p>
    <w:p w14:paraId="2D5B9BD4" w14:textId="58EA896A" w:rsidR="003771CB" w:rsidRPr="003272B0" w:rsidRDefault="003771CB">
      <w:pPr>
        <w:pStyle w:val="FootnoteText"/>
        <w:rPr>
          <w:color w:val="000000" w:themeColor="text1"/>
        </w:rPr>
      </w:pPr>
    </w:p>
  </w:footnote>
  <w:footnote w:id="29">
    <w:p w14:paraId="469EE6AD" w14:textId="59044374" w:rsidR="00D2010A" w:rsidRPr="003272B0" w:rsidRDefault="00D2010A" w:rsidP="00D2010A">
      <w:pPr>
        <w:shd w:val="clear" w:color="auto" w:fill="FFFFFF"/>
        <w:rPr>
          <w:rFonts w:ascii="Arial" w:hAnsi="Arial" w:cs="Arial"/>
          <w:color w:val="000000" w:themeColor="text1"/>
        </w:rPr>
      </w:pPr>
      <w:r w:rsidRPr="003272B0">
        <w:rPr>
          <w:rStyle w:val="FootnoteReference"/>
          <w:color w:val="000000" w:themeColor="text1"/>
        </w:rPr>
        <w:footnoteRef/>
      </w:r>
      <w:r w:rsidRPr="003272B0">
        <w:rPr>
          <w:color w:val="000000" w:themeColor="text1"/>
        </w:rPr>
        <w:t xml:space="preserve"> </w:t>
      </w:r>
      <w:r w:rsidRPr="003272B0">
        <w:rPr>
          <w:rStyle w:val="authors"/>
          <w:color w:val="000000" w:themeColor="text1"/>
        </w:rPr>
        <w:t xml:space="preserve">Samrat Ghosh &amp; Christopher </w:t>
      </w:r>
      <w:proofErr w:type="spellStart"/>
      <w:r w:rsidRPr="003272B0">
        <w:rPr>
          <w:rStyle w:val="authors"/>
          <w:color w:val="000000" w:themeColor="text1"/>
        </w:rPr>
        <w:t>Rubly</w:t>
      </w:r>
      <w:proofErr w:type="spellEnd"/>
      <w:r w:rsidRPr="003272B0">
        <w:rPr>
          <w:color w:val="000000" w:themeColor="text1"/>
        </w:rPr>
        <w:t> </w:t>
      </w:r>
      <w:r w:rsidRPr="003272B0">
        <w:rPr>
          <w:rStyle w:val="Date1"/>
          <w:color w:val="000000" w:themeColor="text1"/>
        </w:rPr>
        <w:t>(2015)</w:t>
      </w:r>
      <w:r w:rsidRPr="003272B0">
        <w:rPr>
          <w:color w:val="000000" w:themeColor="text1"/>
        </w:rPr>
        <w:t> </w:t>
      </w:r>
      <w:r w:rsidRPr="003272B0">
        <w:rPr>
          <w:rStyle w:val="arttitle"/>
          <w:color w:val="000000" w:themeColor="text1"/>
        </w:rPr>
        <w:t>The emergence of Arctic shipping: issues, threats, costs, and risk-mitigating strategies of the Polar Code,</w:t>
      </w:r>
      <w:r w:rsidRPr="003272B0">
        <w:rPr>
          <w:color w:val="000000" w:themeColor="text1"/>
        </w:rPr>
        <w:t> </w:t>
      </w:r>
      <w:r w:rsidRPr="003272B0">
        <w:rPr>
          <w:rStyle w:val="serialtitle"/>
          <w:color w:val="000000" w:themeColor="text1"/>
        </w:rPr>
        <w:t>Australian Journal of Maritime &amp; Ocean Affairs,</w:t>
      </w:r>
      <w:r w:rsidRPr="003272B0">
        <w:rPr>
          <w:color w:val="000000" w:themeColor="text1"/>
        </w:rPr>
        <w:t> </w:t>
      </w:r>
      <w:r w:rsidRPr="003272B0">
        <w:rPr>
          <w:rStyle w:val="volumeissue"/>
          <w:color w:val="000000" w:themeColor="text1"/>
        </w:rPr>
        <w:t>7:3,</w:t>
      </w:r>
      <w:r w:rsidRPr="003272B0">
        <w:rPr>
          <w:color w:val="000000" w:themeColor="text1"/>
        </w:rPr>
        <w:t> </w:t>
      </w:r>
      <w:r w:rsidRPr="003272B0">
        <w:rPr>
          <w:rStyle w:val="pagerange"/>
          <w:color w:val="000000" w:themeColor="text1"/>
        </w:rPr>
        <w:t>171-182,</w:t>
      </w:r>
      <w:r w:rsidRPr="003272B0">
        <w:rPr>
          <w:color w:val="000000" w:themeColor="text1"/>
        </w:rPr>
        <w:t> </w:t>
      </w:r>
      <w:r w:rsidRPr="003272B0">
        <w:rPr>
          <w:rStyle w:val="doilink"/>
          <w:color w:val="000000" w:themeColor="text1"/>
        </w:rPr>
        <w:t>DOI: </w:t>
      </w:r>
      <w:hyperlink r:id="rId9" w:history="1">
        <w:r w:rsidRPr="003272B0">
          <w:rPr>
            <w:rStyle w:val="Hyperlink"/>
            <w:color w:val="000000" w:themeColor="text1"/>
          </w:rPr>
          <w:t>10.1080/18366503.2015.1093695</w:t>
        </w:r>
      </w:hyperlink>
    </w:p>
    <w:p w14:paraId="547B146F" w14:textId="73A91C27" w:rsidR="00D2010A" w:rsidRPr="00D2010A" w:rsidRDefault="00D2010A">
      <w:pPr>
        <w:pStyle w:val="FootnoteText"/>
      </w:pPr>
    </w:p>
  </w:footnote>
  <w:footnote w:id="30">
    <w:p w14:paraId="2FAC5C5D" w14:textId="03D96A49" w:rsidR="00D2010A" w:rsidRPr="003272B0" w:rsidRDefault="00D2010A" w:rsidP="00D2010A">
      <w:pPr>
        <w:rPr>
          <w:color w:val="000000" w:themeColor="text1"/>
        </w:rPr>
      </w:pPr>
      <w:r w:rsidRPr="003272B0">
        <w:rPr>
          <w:rStyle w:val="FootnoteReference"/>
          <w:color w:val="000000" w:themeColor="text1"/>
        </w:rPr>
        <w:footnoteRef/>
      </w:r>
      <w:r w:rsidRPr="003272B0">
        <w:rPr>
          <w:color w:val="000000" w:themeColor="text1"/>
        </w:rPr>
        <w:t xml:space="preserve"> </w:t>
      </w:r>
      <w:r w:rsidRPr="003272B0">
        <w:rPr>
          <w:color w:val="000000" w:themeColor="text1"/>
          <w:sz w:val="22"/>
          <w:szCs w:val="22"/>
          <w:shd w:val="clear" w:color="auto" w:fill="FFFFFF"/>
        </w:rPr>
        <w:t>WWF (World Wildlife Fund). 2014. “Arctic Shipping: Avoiding Catastrophe.” Managing the Risks of More Marine Traffic in Canada's Arctic Waters. </w:t>
      </w:r>
      <w:hyperlink r:id="rId10" w:history="1">
        <w:r w:rsidRPr="003272B0">
          <w:rPr>
            <w:rStyle w:val="Hyperlink"/>
            <w:color w:val="000000" w:themeColor="text1"/>
          </w:rPr>
          <w:t>http://awsassets.wwf.ca/downloads/wwf_arctic_shipping_summary_report_1.pdf</w:t>
        </w:r>
      </w:hyperlink>
    </w:p>
  </w:footnote>
  <w:footnote w:id="31">
    <w:p w14:paraId="7E82772F" w14:textId="77777777" w:rsidR="00D2010A" w:rsidRPr="003272B0" w:rsidRDefault="00D2010A" w:rsidP="00D2010A">
      <w:pPr>
        <w:rPr>
          <w:color w:val="000000" w:themeColor="text1"/>
        </w:rPr>
      </w:pPr>
      <w:r w:rsidRPr="003272B0">
        <w:rPr>
          <w:rStyle w:val="FootnoteReference"/>
          <w:color w:val="000000" w:themeColor="text1"/>
        </w:rPr>
        <w:footnoteRef/>
      </w:r>
      <w:r w:rsidRPr="003272B0">
        <w:rPr>
          <w:color w:val="000000" w:themeColor="text1"/>
        </w:rPr>
        <w:t xml:space="preserve"> International Labour Organisation. 2016. Occupational safety and health and skills in the oil and gas industry operating in polar and subarctic climate zones of the northern hemisphere. </w:t>
      </w:r>
      <w:hyperlink r:id="rId11" w:history="1">
        <w:r w:rsidRPr="003272B0">
          <w:rPr>
            <w:rStyle w:val="Hyperlink"/>
            <w:color w:val="000000" w:themeColor="text1"/>
          </w:rPr>
          <w:t>https://www.ilo.org/wcmsp5/groups/public/---</w:t>
        </w:r>
        <w:proofErr w:type="spellStart"/>
        <w:r w:rsidRPr="003272B0">
          <w:rPr>
            <w:rStyle w:val="Hyperlink"/>
            <w:color w:val="000000" w:themeColor="text1"/>
          </w:rPr>
          <w:t>ed_dialogue</w:t>
        </w:r>
        <w:proofErr w:type="spellEnd"/>
        <w:r w:rsidRPr="003272B0">
          <w:rPr>
            <w:rStyle w:val="Hyperlink"/>
            <w:color w:val="000000" w:themeColor="text1"/>
          </w:rPr>
          <w:t>/---sector/documents/publication/wcms_438074.pdf</w:t>
        </w:r>
      </w:hyperlink>
    </w:p>
    <w:p w14:paraId="223C2FF6" w14:textId="3D92CCD1" w:rsidR="00D2010A" w:rsidRDefault="00D2010A" w:rsidP="00D2010A"/>
    <w:p w14:paraId="49D66D66" w14:textId="6754120A" w:rsidR="00D2010A" w:rsidRDefault="00D2010A">
      <w:pPr>
        <w:pStyle w:val="FootnoteText"/>
      </w:pPr>
    </w:p>
  </w:footnote>
  <w:footnote w:id="32">
    <w:p w14:paraId="5B6D7E2F" w14:textId="16831DAA" w:rsidR="00DF2ACB" w:rsidRPr="008532F1" w:rsidRDefault="00DF2ACB" w:rsidP="008532F1">
      <w:pPr>
        <w:rPr>
          <w:sz w:val="22"/>
          <w:szCs w:val="22"/>
        </w:rPr>
      </w:pPr>
      <w:r>
        <w:rPr>
          <w:rStyle w:val="FootnoteReference"/>
        </w:rPr>
        <w:footnoteRef/>
      </w:r>
      <w:r>
        <w:t xml:space="preserve"> </w:t>
      </w:r>
      <w:proofErr w:type="spellStart"/>
      <w:r w:rsidR="007D698D" w:rsidRPr="008532F1">
        <w:rPr>
          <w:color w:val="222222"/>
          <w:sz w:val="22"/>
          <w:szCs w:val="22"/>
          <w:shd w:val="clear" w:color="auto" w:fill="FFFFFF"/>
        </w:rPr>
        <w:t>Hancher</w:t>
      </w:r>
      <w:proofErr w:type="spellEnd"/>
      <w:r w:rsidR="007D698D" w:rsidRPr="008532F1">
        <w:rPr>
          <w:color w:val="222222"/>
          <w:sz w:val="22"/>
          <w:szCs w:val="22"/>
          <w:shd w:val="clear" w:color="auto" w:fill="FFFFFF"/>
        </w:rPr>
        <w:t>, Leigh, and Michael Moran. "Introduction: Regulation and deregulation." </w:t>
      </w:r>
      <w:r w:rsidR="007D698D" w:rsidRPr="008532F1">
        <w:rPr>
          <w:i/>
          <w:iCs/>
          <w:color w:val="222222"/>
          <w:sz w:val="22"/>
          <w:szCs w:val="22"/>
          <w:shd w:val="clear" w:color="auto" w:fill="FFFFFF"/>
        </w:rPr>
        <w:t>European Journal of Political Research</w:t>
      </w:r>
      <w:r w:rsidR="007D698D" w:rsidRPr="008532F1">
        <w:rPr>
          <w:color w:val="222222"/>
          <w:sz w:val="22"/>
          <w:szCs w:val="22"/>
          <w:shd w:val="clear" w:color="auto" w:fill="FFFFFF"/>
        </w:rPr>
        <w:t> 17, no. 2 (1989): 129-136.</w:t>
      </w:r>
    </w:p>
  </w:footnote>
  <w:footnote w:id="33">
    <w:p w14:paraId="3A98CEFA" w14:textId="77777777" w:rsidR="007D698D" w:rsidRPr="008532F1" w:rsidRDefault="00F6572B" w:rsidP="007D698D">
      <w:pPr>
        <w:rPr>
          <w:sz w:val="22"/>
          <w:szCs w:val="22"/>
        </w:rPr>
      </w:pPr>
      <w:r>
        <w:rPr>
          <w:rStyle w:val="FootnoteReference"/>
        </w:rPr>
        <w:footnoteRef/>
      </w:r>
      <w:r>
        <w:t xml:space="preserve"> </w:t>
      </w:r>
      <w:r w:rsidR="007D698D" w:rsidRPr="008532F1">
        <w:rPr>
          <w:color w:val="222222"/>
          <w:sz w:val="22"/>
          <w:szCs w:val="22"/>
          <w:shd w:val="clear" w:color="auto" w:fill="FFFFFF"/>
        </w:rPr>
        <w:t>Beck, Ulrich, Scott Lash, and Brian Wynne. </w:t>
      </w:r>
      <w:r w:rsidR="007D698D" w:rsidRPr="008532F1">
        <w:rPr>
          <w:i/>
          <w:iCs/>
          <w:color w:val="222222"/>
          <w:sz w:val="22"/>
          <w:szCs w:val="22"/>
          <w:shd w:val="clear" w:color="auto" w:fill="FFFFFF"/>
        </w:rPr>
        <w:t>Risk society: Towards a new modernity</w:t>
      </w:r>
      <w:r w:rsidR="007D698D" w:rsidRPr="008532F1">
        <w:rPr>
          <w:color w:val="222222"/>
          <w:sz w:val="22"/>
          <w:szCs w:val="22"/>
          <w:shd w:val="clear" w:color="auto" w:fill="FFFFFF"/>
        </w:rPr>
        <w:t>. Vol. 17. sage, 1992.</w:t>
      </w:r>
    </w:p>
    <w:p w14:paraId="050450D1" w14:textId="78E9C0DD" w:rsidR="00F6572B" w:rsidRDefault="00F6572B">
      <w:pPr>
        <w:pStyle w:val="FootnoteText"/>
      </w:pPr>
    </w:p>
  </w:footnote>
  <w:footnote w:id="34">
    <w:p w14:paraId="20730BFE" w14:textId="4E648B0F" w:rsidR="00F56D24" w:rsidRDefault="00F56D24" w:rsidP="00BD65AA">
      <w:r>
        <w:rPr>
          <w:rStyle w:val="FootnoteReference"/>
        </w:rPr>
        <w:footnoteRef/>
      </w:r>
      <w:r>
        <w:t xml:space="preserve"> </w:t>
      </w:r>
      <w:proofErr w:type="spellStart"/>
      <w:r w:rsidR="00837F1A" w:rsidRPr="005F0AB5">
        <w:rPr>
          <w:color w:val="3A3A3A"/>
          <w:sz w:val="22"/>
          <w:szCs w:val="22"/>
          <w:shd w:val="clear" w:color="auto" w:fill="FFFFFF"/>
        </w:rPr>
        <w:t>Sirrs</w:t>
      </w:r>
      <w:proofErr w:type="spellEnd"/>
      <w:r w:rsidR="00837F1A" w:rsidRPr="005F0AB5">
        <w:rPr>
          <w:color w:val="3A3A3A"/>
          <w:sz w:val="22"/>
          <w:szCs w:val="22"/>
          <w:shd w:val="clear" w:color="auto" w:fill="FFFFFF"/>
        </w:rPr>
        <w:t>, Christopher. “Accidents and Apathy: The Construction of the ‘</w:t>
      </w:r>
      <w:proofErr w:type="spellStart"/>
      <w:r w:rsidR="00837F1A" w:rsidRPr="005F0AB5">
        <w:rPr>
          <w:color w:val="3A3A3A"/>
          <w:sz w:val="22"/>
          <w:szCs w:val="22"/>
          <w:shd w:val="clear" w:color="auto" w:fill="FFFFFF"/>
        </w:rPr>
        <w:t>Robens</w:t>
      </w:r>
      <w:proofErr w:type="spellEnd"/>
      <w:r w:rsidR="00837F1A" w:rsidRPr="005F0AB5">
        <w:rPr>
          <w:color w:val="3A3A3A"/>
          <w:sz w:val="22"/>
          <w:szCs w:val="22"/>
          <w:shd w:val="clear" w:color="auto" w:fill="FFFFFF"/>
        </w:rPr>
        <w:t xml:space="preserve"> Philosophy’ of Occupational Safety and Health Regulation in Britain, 1961–1974.” Social History of Medicine 29, no. 1 (2016): 66–88.</w:t>
      </w:r>
    </w:p>
  </w:footnote>
  <w:footnote w:id="35">
    <w:p w14:paraId="5B6D109B" w14:textId="0F0F5604" w:rsidR="00BD65AA" w:rsidRDefault="00BD65AA" w:rsidP="004D6FDF">
      <w:r>
        <w:rPr>
          <w:rStyle w:val="FootnoteReference"/>
        </w:rPr>
        <w:footnoteRef/>
      </w:r>
      <w:r>
        <w:t xml:space="preserve"> </w:t>
      </w:r>
      <w:proofErr w:type="spellStart"/>
      <w:r w:rsidR="00DB6679" w:rsidRPr="00DB6679">
        <w:rPr>
          <w:color w:val="222222"/>
          <w:sz w:val="22"/>
          <w:szCs w:val="22"/>
          <w:shd w:val="clear" w:color="auto" w:fill="FFFFFF"/>
        </w:rPr>
        <w:t>Robens</w:t>
      </w:r>
      <w:proofErr w:type="spellEnd"/>
      <w:r w:rsidR="00DB6679" w:rsidRPr="00DB6679">
        <w:rPr>
          <w:color w:val="222222"/>
          <w:sz w:val="22"/>
          <w:szCs w:val="22"/>
          <w:shd w:val="clear" w:color="auto" w:fill="FFFFFF"/>
        </w:rPr>
        <w:t>, Alfred. </w:t>
      </w:r>
      <w:r w:rsidR="00DB6679" w:rsidRPr="00DB6679">
        <w:rPr>
          <w:i/>
          <w:iCs/>
          <w:color w:val="222222"/>
          <w:sz w:val="22"/>
          <w:szCs w:val="22"/>
          <w:shd w:val="clear" w:color="auto" w:fill="FFFFFF"/>
        </w:rPr>
        <w:t>Safety and health at work: report of the Committee, 1970-72</w:t>
      </w:r>
      <w:r w:rsidR="00DB6679" w:rsidRPr="00DB6679">
        <w:rPr>
          <w:color w:val="222222"/>
          <w:sz w:val="22"/>
          <w:szCs w:val="22"/>
          <w:shd w:val="clear" w:color="auto" w:fill="FFFFFF"/>
        </w:rPr>
        <w:t>. Vol. 1. HM Stationery Office, 1972. P.5</w:t>
      </w:r>
    </w:p>
  </w:footnote>
  <w:footnote w:id="36">
    <w:p w14:paraId="69BD3BD0" w14:textId="7CDBA12A" w:rsidR="008E06F1" w:rsidRPr="008058BC" w:rsidRDefault="008E06F1" w:rsidP="008058BC">
      <w:pPr>
        <w:rPr>
          <w:sz w:val="22"/>
          <w:szCs w:val="22"/>
        </w:rPr>
      </w:pPr>
      <w:r>
        <w:rPr>
          <w:rStyle w:val="FootnoteReference"/>
        </w:rPr>
        <w:footnoteRef/>
      </w:r>
      <w:r>
        <w:t xml:space="preserve"> </w:t>
      </w:r>
      <w:proofErr w:type="spellStart"/>
      <w:r w:rsidRPr="00DB6679">
        <w:rPr>
          <w:color w:val="3A3A3A"/>
          <w:sz w:val="22"/>
          <w:szCs w:val="22"/>
          <w:shd w:val="clear" w:color="auto" w:fill="FFFFFF"/>
        </w:rPr>
        <w:t>Sirrs</w:t>
      </w:r>
      <w:proofErr w:type="spellEnd"/>
      <w:r w:rsidRPr="00DB6679">
        <w:rPr>
          <w:color w:val="3A3A3A"/>
          <w:sz w:val="22"/>
          <w:szCs w:val="22"/>
          <w:shd w:val="clear" w:color="auto" w:fill="FFFFFF"/>
        </w:rPr>
        <w:t>, Christopher. “Accidents and Apathy: The Construction of the ‘</w:t>
      </w:r>
      <w:proofErr w:type="spellStart"/>
      <w:r w:rsidRPr="00DB6679">
        <w:rPr>
          <w:color w:val="3A3A3A"/>
          <w:sz w:val="22"/>
          <w:szCs w:val="22"/>
          <w:shd w:val="clear" w:color="auto" w:fill="FFFFFF"/>
        </w:rPr>
        <w:t>Robens</w:t>
      </w:r>
      <w:proofErr w:type="spellEnd"/>
      <w:r w:rsidRPr="00DB6679">
        <w:rPr>
          <w:color w:val="3A3A3A"/>
          <w:sz w:val="22"/>
          <w:szCs w:val="22"/>
          <w:shd w:val="clear" w:color="auto" w:fill="FFFFFF"/>
        </w:rPr>
        <w:t xml:space="preserve"> Philosophy’ of Occupational Safety and Health Regulation in Britain, 1961–1974.” Social History of Medicine 29, no. 1 (2016): 66–88. </w:t>
      </w:r>
    </w:p>
  </w:footnote>
  <w:footnote w:id="37">
    <w:p w14:paraId="3CA7005D" w14:textId="1B5337C1" w:rsidR="00643FA8" w:rsidRDefault="00643FA8">
      <w:pPr>
        <w:pStyle w:val="FootnoteText"/>
      </w:pPr>
      <w:r>
        <w:rPr>
          <w:rStyle w:val="FootnoteReference"/>
        </w:rPr>
        <w:footnoteRef/>
      </w:r>
      <w:r>
        <w:t xml:space="preserve"> </w:t>
      </w:r>
      <w:r w:rsidRPr="000E441F">
        <w:rPr>
          <w:sz w:val="22"/>
          <w:szCs w:val="22"/>
        </w:rPr>
        <w:t>ibid</w:t>
      </w:r>
    </w:p>
  </w:footnote>
  <w:footnote w:id="38">
    <w:p w14:paraId="38F60954" w14:textId="411DB307" w:rsidR="000E441F" w:rsidRDefault="004E2E3D" w:rsidP="000E441F">
      <w:r>
        <w:rPr>
          <w:rStyle w:val="FootnoteReference"/>
        </w:rPr>
        <w:footnoteRef/>
      </w:r>
      <w:r>
        <w:t xml:space="preserve"> </w:t>
      </w:r>
      <w:proofErr w:type="spellStart"/>
      <w:r w:rsidR="000E441F" w:rsidRPr="00DB6679">
        <w:rPr>
          <w:color w:val="222222"/>
          <w:sz w:val="22"/>
          <w:szCs w:val="22"/>
          <w:shd w:val="clear" w:color="auto" w:fill="FFFFFF"/>
        </w:rPr>
        <w:t>Robens</w:t>
      </w:r>
      <w:proofErr w:type="spellEnd"/>
      <w:r w:rsidR="000E441F" w:rsidRPr="00DB6679">
        <w:rPr>
          <w:color w:val="222222"/>
          <w:sz w:val="22"/>
          <w:szCs w:val="22"/>
          <w:shd w:val="clear" w:color="auto" w:fill="FFFFFF"/>
        </w:rPr>
        <w:t>, Alfred. </w:t>
      </w:r>
      <w:r w:rsidR="000E441F" w:rsidRPr="00DB6679">
        <w:rPr>
          <w:i/>
          <w:iCs/>
          <w:color w:val="222222"/>
          <w:sz w:val="22"/>
          <w:szCs w:val="22"/>
          <w:shd w:val="clear" w:color="auto" w:fill="FFFFFF"/>
        </w:rPr>
        <w:t>Safety and health at work: report of the Committee, 1970-72</w:t>
      </w:r>
      <w:r w:rsidR="000E441F" w:rsidRPr="00DB6679">
        <w:rPr>
          <w:color w:val="222222"/>
          <w:sz w:val="22"/>
          <w:szCs w:val="22"/>
          <w:shd w:val="clear" w:color="auto" w:fill="FFFFFF"/>
        </w:rPr>
        <w:t>. Vol. 1. HM Stationery Office, 1972. P.</w:t>
      </w:r>
      <w:r w:rsidR="000E441F">
        <w:rPr>
          <w:color w:val="222222"/>
          <w:sz w:val="22"/>
          <w:szCs w:val="22"/>
          <w:shd w:val="clear" w:color="auto" w:fill="FFFFFF"/>
        </w:rPr>
        <w:t>8</w:t>
      </w:r>
    </w:p>
    <w:p w14:paraId="65CBFA32" w14:textId="0AE2C6EC" w:rsidR="008D5C6F" w:rsidRDefault="008D5C6F" w:rsidP="008D5C6F"/>
    <w:p w14:paraId="35F79960" w14:textId="4E34EEFA" w:rsidR="004E2E3D" w:rsidRDefault="004E2E3D">
      <w:pPr>
        <w:pStyle w:val="FootnoteText"/>
      </w:pPr>
    </w:p>
  </w:footnote>
  <w:footnote w:id="39">
    <w:p w14:paraId="137D7865" w14:textId="20BF2207" w:rsidR="00AE70EA" w:rsidRDefault="00AE70EA">
      <w:pPr>
        <w:pStyle w:val="FootnoteText"/>
      </w:pPr>
      <w:r>
        <w:rPr>
          <w:rStyle w:val="FootnoteReference"/>
        </w:rPr>
        <w:footnoteRef/>
      </w:r>
      <w:r>
        <w:t xml:space="preserve"> </w:t>
      </w:r>
      <w:r w:rsidR="000350D1" w:rsidRPr="00A20DBC">
        <w:rPr>
          <w:sz w:val="22"/>
          <w:szCs w:val="22"/>
        </w:rPr>
        <w:t xml:space="preserve">D. Walters and N. Bailey, </w:t>
      </w:r>
      <w:r w:rsidR="000350D1" w:rsidRPr="00A20DBC">
        <w:rPr>
          <w:i/>
          <w:sz w:val="22"/>
          <w:szCs w:val="22"/>
        </w:rPr>
        <w:t xml:space="preserve">Lives in Peril: Profit or Safety in the Global Maritime Industry </w:t>
      </w:r>
      <w:r w:rsidR="000350D1" w:rsidRPr="00A20DBC">
        <w:rPr>
          <w:sz w:val="22"/>
          <w:szCs w:val="22"/>
        </w:rPr>
        <w:t>(New York: Palgrave Macmillan, 2013)</w:t>
      </w:r>
    </w:p>
  </w:footnote>
  <w:footnote w:id="40">
    <w:p w14:paraId="4AE63540" w14:textId="48676903" w:rsidR="00FF4FC3" w:rsidRDefault="00FF4FC3" w:rsidP="00D50C13">
      <w:r>
        <w:rPr>
          <w:rStyle w:val="FootnoteReference"/>
        </w:rPr>
        <w:footnoteRef/>
      </w:r>
      <w:r>
        <w:t xml:space="preserve"> </w:t>
      </w:r>
      <w:r w:rsidR="002B495B" w:rsidRPr="00A20DBC">
        <w:rPr>
          <w:color w:val="222222"/>
          <w:sz w:val="22"/>
          <w:szCs w:val="22"/>
          <w:shd w:val="clear" w:color="auto" w:fill="FFFFFF"/>
        </w:rPr>
        <w:t xml:space="preserve">Nielsen, Detlef, and </w:t>
      </w:r>
      <w:proofErr w:type="spellStart"/>
      <w:r w:rsidR="002B495B" w:rsidRPr="00A20DBC">
        <w:rPr>
          <w:color w:val="222222"/>
          <w:sz w:val="22"/>
          <w:szCs w:val="22"/>
          <w:shd w:val="clear" w:color="auto" w:fill="FFFFFF"/>
        </w:rPr>
        <w:t>Photis</w:t>
      </w:r>
      <w:proofErr w:type="spellEnd"/>
      <w:r w:rsidR="002B495B" w:rsidRPr="00A20DBC">
        <w:rPr>
          <w:color w:val="222222"/>
          <w:sz w:val="22"/>
          <w:szCs w:val="22"/>
          <w:shd w:val="clear" w:color="auto" w:fill="FFFFFF"/>
        </w:rPr>
        <w:t xml:space="preserve"> M. </w:t>
      </w:r>
      <w:proofErr w:type="spellStart"/>
      <w:r w:rsidR="002B495B" w:rsidRPr="00A20DBC">
        <w:rPr>
          <w:color w:val="222222"/>
          <w:sz w:val="22"/>
          <w:szCs w:val="22"/>
          <w:shd w:val="clear" w:color="auto" w:fill="FFFFFF"/>
        </w:rPr>
        <w:t>Panayides</w:t>
      </w:r>
      <w:proofErr w:type="spellEnd"/>
      <w:r w:rsidR="002B495B" w:rsidRPr="00A20DBC">
        <w:rPr>
          <w:color w:val="222222"/>
          <w:sz w:val="22"/>
          <w:szCs w:val="22"/>
          <w:shd w:val="clear" w:color="auto" w:fill="FFFFFF"/>
        </w:rPr>
        <w:t>. "Causes of casualties and the regulation of occupational health and safety in the shipping industry." </w:t>
      </w:r>
      <w:r w:rsidR="002B495B" w:rsidRPr="00A20DBC">
        <w:rPr>
          <w:i/>
          <w:iCs/>
          <w:color w:val="222222"/>
          <w:sz w:val="22"/>
          <w:szCs w:val="22"/>
          <w:shd w:val="clear" w:color="auto" w:fill="FFFFFF"/>
        </w:rPr>
        <w:t>WMU Journal of Maritime Affairs</w:t>
      </w:r>
      <w:r w:rsidR="002B495B" w:rsidRPr="00A20DBC">
        <w:rPr>
          <w:color w:val="222222"/>
          <w:sz w:val="22"/>
          <w:szCs w:val="22"/>
          <w:shd w:val="clear" w:color="auto" w:fill="FFFFFF"/>
        </w:rPr>
        <w:t> 4, no. 2 (2005): 147-167.</w:t>
      </w:r>
    </w:p>
  </w:footnote>
  <w:footnote w:id="41">
    <w:p w14:paraId="66AC6A11" w14:textId="289AFE7B" w:rsidR="008058BC" w:rsidRPr="008058BC" w:rsidRDefault="008058BC" w:rsidP="008058BC">
      <w:pPr>
        <w:rPr>
          <w:color w:val="222222"/>
          <w:sz w:val="22"/>
          <w:szCs w:val="22"/>
          <w:shd w:val="clear" w:color="auto" w:fill="FFFFFF"/>
        </w:rPr>
      </w:pPr>
      <w:r>
        <w:rPr>
          <w:rStyle w:val="FootnoteReference"/>
        </w:rPr>
        <w:footnoteRef/>
      </w:r>
      <w:r>
        <w:t xml:space="preserve"> </w:t>
      </w:r>
      <w:r w:rsidRPr="008058BC">
        <w:rPr>
          <w:color w:val="222222"/>
          <w:sz w:val="22"/>
          <w:szCs w:val="22"/>
          <w:shd w:val="clear" w:color="auto" w:fill="FFFFFF"/>
        </w:rPr>
        <w:t xml:space="preserve">Bhattacharya, </w:t>
      </w:r>
      <w:proofErr w:type="spellStart"/>
      <w:r w:rsidRPr="008058BC">
        <w:rPr>
          <w:color w:val="222222"/>
          <w:sz w:val="22"/>
          <w:szCs w:val="22"/>
          <w:shd w:val="clear" w:color="auto" w:fill="FFFFFF"/>
        </w:rPr>
        <w:t>Syamantak</w:t>
      </w:r>
      <w:proofErr w:type="spellEnd"/>
      <w:r w:rsidRPr="008058BC">
        <w:rPr>
          <w:color w:val="222222"/>
          <w:sz w:val="22"/>
          <w:szCs w:val="22"/>
          <w:shd w:val="clear" w:color="auto" w:fill="FFFFFF"/>
        </w:rPr>
        <w:t>. "Sociological factors influencing the practice of incident reporting: the case of the shipping industry." Employee Relations </w:t>
      </w:r>
      <w:r>
        <w:rPr>
          <w:color w:val="222222"/>
          <w:sz w:val="22"/>
          <w:szCs w:val="22"/>
          <w:shd w:val="clear" w:color="auto" w:fill="FFFFFF"/>
        </w:rPr>
        <w:t xml:space="preserve">34, no.2 </w:t>
      </w:r>
      <w:r w:rsidRPr="008058BC">
        <w:rPr>
          <w:color w:val="222222"/>
          <w:sz w:val="22"/>
          <w:szCs w:val="22"/>
          <w:shd w:val="clear" w:color="auto" w:fill="FFFFFF"/>
        </w:rPr>
        <w:t>(2012)</w:t>
      </w:r>
      <w:r>
        <w:rPr>
          <w:color w:val="222222"/>
          <w:sz w:val="22"/>
          <w:szCs w:val="22"/>
          <w:shd w:val="clear" w:color="auto" w:fill="FFFFFF"/>
        </w:rPr>
        <w:t>: 4-21</w:t>
      </w:r>
      <w:r w:rsidRPr="008058BC">
        <w:rPr>
          <w:color w:val="222222"/>
          <w:sz w:val="22"/>
          <w:szCs w:val="22"/>
          <w:shd w:val="clear" w:color="auto" w:fill="FFFFFF"/>
        </w:rPr>
        <w:t>.</w:t>
      </w:r>
    </w:p>
    <w:p w14:paraId="1769E484" w14:textId="731726F8" w:rsidR="008058BC" w:rsidRPr="008058BC" w:rsidRDefault="008058BC">
      <w:pPr>
        <w:pStyle w:val="FootnoteText"/>
        <w:rPr>
          <w:color w:val="222222"/>
          <w:sz w:val="22"/>
          <w:szCs w:val="22"/>
          <w:shd w:val="clear" w:color="auto" w:fill="FFFFFF"/>
        </w:rPr>
      </w:pPr>
    </w:p>
  </w:footnote>
  <w:footnote w:id="42">
    <w:p w14:paraId="2461953D" w14:textId="00E0C780" w:rsidR="009536A5" w:rsidRDefault="009536A5">
      <w:pPr>
        <w:pStyle w:val="FootnoteText"/>
      </w:pPr>
      <w:r>
        <w:rPr>
          <w:rStyle w:val="FootnoteReference"/>
        </w:rPr>
        <w:footnoteRef/>
      </w:r>
      <w:r>
        <w:t xml:space="preserve"> </w:t>
      </w:r>
      <w:r w:rsidR="00DD4DD4" w:rsidRPr="00D50C13">
        <w:rPr>
          <w:sz w:val="22"/>
          <w:szCs w:val="22"/>
        </w:rPr>
        <w:t xml:space="preserve">Maritime Labour Convention, 2006, </w:t>
      </w:r>
      <w:r w:rsidR="00922E35" w:rsidRPr="00D50C13">
        <w:rPr>
          <w:sz w:val="22"/>
          <w:szCs w:val="22"/>
        </w:rPr>
        <w:t>Standard A 4.3.2 (d)</w:t>
      </w:r>
    </w:p>
  </w:footnote>
  <w:footnote w:id="43">
    <w:p w14:paraId="0F34667D" w14:textId="6F5002CA" w:rsidR="00F475FE" w:rsidRDefault="00F475FE" w:rsidP="008058BC">
      <w:r>
        <w:rPr>
          <w:rStyle w:val="FootnoteReference"/>
        </w:rPr>
        <w:footnoteRef/>
      </w:r>
      <w:r>
        <w:t xml:space="preserve"> </w:t>
      </w:r>
      <w:r w:rsidR="00693809" w:rsidRPr="00693809">
        <w:rPr>
          <w:color w:val="222222"/>
          <w:sz w:val="22"/>
          <w:szCs w:val="22"/>
          <w:shd w:val="clear" w:color="auto" w:fill="FFFFFF"/>
        </w:rPr>
        <w:t>Johnstone, Richard, and Michael Quinlan. "The OHS regulatory challenges posed by agency workers: evidence from Australia." </w:t>
      </w:r>
      <w:r w:rsidR="00693809" w:rsidRPr="00693809">
        <w:rPr>
          <w:i/>
          <w:iCs/>
          <w:color w:val="222222"/>
          <w:sz w:val="22"/>
          <w:szCs w:val="22"/>
          <w:shd w:val="clear" w:color="auto" w:fill="FFFFFF"/>
        </w:rPr>
        <w:t>Employee Relations</w:t>
      </w:r>
      <w:r w:rsidR="00693809" w:rsidRPr="00693809">
        <w:rPr>
          <w:color w:val="222222"/>
          <w:sz w:val="22"/>
          <w:szCs w:val="22"/>
          <w:shd w:val="clear" w:color="auto" w:fill="FFFFFF"/>
        </w:rPr>
        <w:t> 28, no. 3 (2006): 273-289.</w:t>
      </w:r>
    </w:p>
  </w:footnote>
  <w:footnote w:id="44">
    <w:p w14:paraId="51C8FEB3" w14:textId="77777777" w:rsidR="00322B6F" w:rsidRDefault="00322B6F" w:rsidP="00322B6F">
      <w:pPr>
        <w:pStyle w:val="FootnoteText"/>
      </w:pPr>
      <w:r>
        <w:rPr>
          <w:rStyle w:val="FootnoteReference"/>
        </w:rPr>
        <w:footnoteRef/>
      </w:r>
      <w:r>
        <w:t xml:space="preserve"> Constitution Act 1867 (U.K.), 30 &amp; 31Vict., c.3. </w:t>
      </w:r>
    </w:p>
  </w:footnote>
  <w:footnote w:id="45">
    <w:p w14:paraId="6445DDCC" w14:textId="77777777" w:rsidR="00F52830" w:rsidRDefault="00701EC0" w:rsidP="00F52830">
      <w:pPr>
        <w:pStyle w:val="Heading3"/>
        <w:shd w:val="clear" w:color="auto" w:fill="FFFFFF"/>
        <w:spacing w:before="100" w:beforeAutospacing="1" w:after="100" w:afterAutospacing="1"/>
        <w:rPr>
          <w:rFonts w:ascii="ModernMTStd-Wide" w:hAnsi="ModernMTStd-Wide" w:hint="eastAsia"/>
          <w:color w:val="333333"/>
        </w:rPr>
      </w:pPr>
      <w:r>
        <w:rPr>
          <w:rStyle w:val="FootnoteReference"/>
        </w:rPr>
        <w:footnoteRef/>
      </w:r>
      <w:r>
        <w:t xml:space="preserve"> </w:t>
      </w:r>
      <w:r w:rsidR="00F52830" w:rsidRPr="00F52830">
        <w:rPr>
          <w:rFonts w:ascii="Times New Roman" w:eastAsia="Times New Roman" w:hAnsi="Times New Roman" w:cs="Times New Roman"/>
          <w:color w:val="auto"/>
          <w:sz w:val="20"/>
          <w:szCs w:val="20"/>
        </w:rPr>
        <w:t xml:space="preserve">Bell Canada v. Quebec (Commission de la santé et de la </w:t>
      </w:r>
      <w:proofErr w:type="spellStart"/>
      <w:r w:rsidR="00F52830" w:rsidRPr="00F52830">
        <w:rPr>
          <w:rFonts w:ascii="Times New Roman" w:eastAsia="Times New Roman" w:hAnsi="Times New Roman" w:cs="Times New Roman"/>
          <w:color w:val="auto"/>
          <w:sz w:val="20"/>
          <w:szCs w:val="20"/>
        </w:rPr>
        <w:t>sécurité</w:t>
      </w:r>
      <w:proofErr w:type="spellEnd"/>
      <w:r w:rsidR="00F52830" w:rsidRPr="00F52830">
        <w:rPr>
          <w:rFonts w:ascii="Times New Roman" w:eastAsia="Times New Roman" w:hAnsi="Times New Roman" w:cs="Times New Roman"/>
          <w:color w:val="auto"/>
          <w:sz w:val="20"/>
          <w:szCs w:val="20"/>
        </w:rPr>
        <w:t xml:space="preserve"> du travail), [1988] 1 SCR 749</w:t>
      </w:r>
    </w:p>
    <w:p w14:paraId="368FF6D6" w14:textId="3F90C2DD" w:rsidR="00701EC0" w:rsidRDefault="00701EC0">
      <w:pPr>
        <w:pStyle w:val="FootnoteText"/>
      </w:pPr>
    </w:p>
  </w:footnote>
  <w:footnote w:id="46">
    <w:p w14:paraId="23E4FB66" w14:textId="3BCE9C12" w:rsidR="00B65B34" w:rsidRDefault="005A0702" w:rsidP="00B65B34">
      <w:r>
        <w:rPr>
          <w:rStyle w:val="FootnoteReference"/>
        </w:rPr>
        <w:footnoteRef/>
      </w:r>
      <w:r>
        <w:t xml:space="preserve"> </w:t>
      </w:r>
      <w:r w:rsidR="00A64BC1">
        <w:t xml:space="preserve">New Fishing Vessel Safety Regulations Coming into force on July 13,2017, by Transport </w:t>
      </w:r>
      <w:r w:rsidR="00202008">
        <w:t>Canada, Available online &lt;</w:t>
      </w:r>
      <w:hyperlink r:id="rId12" w:history="1">
        <w:r w:rsidR="00202008" w:rsidRPr="00E87DD7">
          <w:rPr>
            <w:rStyle w:val="Hyperlink"/>
          </w:rPr>
          <w:t>http://www.tc.gc.ca/media/documents/marinesafety/fvsr_eng_web.pdf</w:t>
        </w:r>
      </w:hyperlink>
      <w:r w:rsidR="00202008">
        <w:t>&gt;</w:t>
      </w:r>
    </w:p>
    <w:p w14:paraId="31DDEF8E" w14:textId="58EBED78" w:rsidR="005A0702" w:rsidRDefault="005A0702">
      <w:pPr>
        <w:pStyle w:val="FootnoteText"/>
      </w:pPr>
    </w:p>
  </w:footnote>
  <w:footnote w:id="47">
    <w:p w14:paraId="18722E46" w14:textId="44045A7D" w:rsidR="00FB07A4" w:rsidRDefault="00FB07A4" w:rsidP="002C01E8">
      <w:r>
        <w:rPr>
          <w:rStyle w:val="FootnoteReference"/>
        </w:rPr>
        <w:footnoteRef/>
      </w:r>
      <w:r w:rsidR="002650A8">
        <w:t xml:space="preserve"> Large Fishing Vessel Inspection Regulations, C.R.C., c,1435</w:t>
      </w:r>
      <w:r w:rsidR="004F5F6B">
        <w:t>, Available online &lt;</w:t>
      </w:r>
      <w:r>
        <w:t xml:space="preserve"> </w:t>
      </w:r>
      <w:hyperlink r:id="rId13" w:history="1">
        <w:r w:rsidR="00B4479A">
          <w:rPr>
            <w:rStyle w:val="Hyperlink"/>
          </w:rPr>
          <w:t>https://laws-lois.justice.gc.ca/eng/regulations/C.R.C.,_c._1435/FullText.html</w:t>
        </w:r>
      </w:hyperlink>
      <w:r w:rsidR="004F5F6B">
        <w:t>&gt;</w:t>
      </w:r>
    </w:p>
  </w:footnote>
  <w:footnote w:id="48">
    <w:p w14:paraId="3B58DA85" w14:textId="59E9F0B2" w:rsidR="002C01E8" w:rsidRPr="009207B4" w:rsidRDefault="001B557C" w:rsidP="002C01E8">
      <w:pPr>
        <w:rPr>
          <w:sz w:val="22"/>
          <w:szCs w:val="22"/>
        </w:rPr>
      </w:pPr>
      <w:r>
        <w:rPr>
          <w:rStyle w:val="FootnoteReference"/>
        </w:rPr>
        <w:footnoteRef/>
      </w:r>
      <w:r>
        <w:t xml:space="preserve"> </w:t>
      </w:r>
      <w:r w:rsidR="00831B34" w:rsidRPr="009207B4">
        <w:rPr>
          <w:sz w:val="22"/>
          <w:szCs w:val="22"/>
        </w:rPr>
        <w:t xml:space="preserve">M.J.S. Windle, B. </w:t>
      </w:r>
      <w:proofErr w:type="spellStart"/>
      <w:r w:rsidR="00831B34" w:rsidRPr="009207B4">
        <w:rPr>
          <w:sz w:val="22"/>
          <w:szCs w:val="22"/>
        </w:rPr>
        <w:t>Neis</w:t>
      </w:r>
      <w:proofErr w:type="spellEnd"/>
      <w:r w:rsidR="005709C3" w:rsidRPr="009207B4">
        <w:rPr>
          <w:sz w:val="22"/>
          <w:szCs w:val="22"/>
        </w:rPr>
        <w:t>, S. Bornstein, P. Navarro “Fishing Occupational Health and Safety: A comparative Analysis of Regulatory Regimes,” Available online:&lt;</w:t>
      </w:r>
      <w:hyperlink r:id="rId14" w:history="1">
        <w:r w:rsidR="005709C3" w:rsidRPr="009207B4">
          <w:rPr>
            <w:rStyle w:val="Hyperlink"/>
            <w:sz w:val="22"/>
            <w:szCs w:val="22"/>
          </w:rPr>
          <w:t>https://www.mun.ca/safetynet/library/Fishery/CARR.pdf</w:t>
        </w:r>
      </w:hyperlink>
      <w:r w:rsidR="005709C3" w:rsidRPr="009207B4">
        <w:rPr>
          <w:sz w:val="22"/>
          <w:szCs w:val="22"/>
        </w:rPr>
        <w:t>&gt;</w:t>
      </w:r>
    </w:p>
    <w:p w14:paraId="31DBE71D" w14:textId="5627BB7A" w:rsidR="001B557C" w:rsidRDefault="001B557C">
      <w:pPr>
        <w:pStyle w:val="FootnoteText"/>
      </w:pPr>
    </w:p>
  </w:footnote>
  <w:footnote w:id="49">
    <w:p w14:paraId="7955139A" w14:textId="0E91B9AA" w:rsidR="00634078" w:rsidRDefault="00E85933" w:rsidP="00634078">
      <w:r>
        <w:rPr>
          <w:rStyle w:val="FootnoteReference"/>
        </w:rPr>
        <w:footnoteRef/>
      </w:r>
      <w:r>
        <w:t xml:space="preserve"> </w:t>
      </w:r>
      <w:r w:rsidR="00D44D61" w:rsidRPr="00691C8F">
        <w:rPr>
          <w:bCs/>
          <w:color w:val="000000" w:themeColor="text1"/>
          <w:kern w:val="36"/>
          <w:sz w:val="22"/>
          <w:szCs w:val="22"/>
          <w:lang w:val="en-US"/>
        </w:rPr>
        <w:t>R v Mersey Seafoods (Crown against Mersey Seafoods)</w:t>
      </w:r>
      <w:r w:rsidR="00634078" w:rsidRPr="00634078">
        <w:rPr>
          <w:rFonts w:ascii="Georgia" w:hAnsi="Georgia"/>
          <w:color w:val="212121"/>
          <w:sz w:val="21"/>
          <w:szCs w:val="21"/>
        </w:rPr>
        <w:t xml:space="preserve"> </w:t>
      </w:r>
      <w:r w:rsidR="00634078">
        <w:rPr>
          <w:rFonts w:ascii="Georgia" w:hAnsi="Georgia"/>
          <w:color w:val="212121"/>
          <w:sz w:val="21"/>
          <w:szCs w:val="21"/>
        </w:rPr>
        <w:t>2008 NSCA 67</w:t>
      </w:r>
    </w:p>
    <w:p w14:paraId="47EEA1CD" w14:textId="495E8224" w:rsidR="00E85933" w:rsidRDefault="00E85933">
      <w:pPr>
        <w:pStyle w:val="FootnoteText"/>
      </w:pPr>
    </w:p>
  </w:footnote>
  <w:footnote w:id="50">
    <w:p w14:paraId="3A2E734F" w14:textId="23E6859E" w:rsidR="00593C45" w:rsidRPr="002A6826" w:rsidRDefault="00294DE7" w:rsidP="002A6826">
      <w:pPr>
        <w:pStyle w:val="Heading1"/>
        <w:shd w:val="clear" w:color="auto" w:fill="FFFFFF"/>
        <w:spacing w:before="570" w:after="173"/>
        <w:rPr>
          <w:b w:val="0"/>
          <w:color w:val="auto"/>
          <w:szCs w:val="22"/>
        </w:rPr>
      </w:pPr>
      <w:r>
        <w:rPr>
          <w:rStyle w:val="FootnoteReference"/>
        </w:rPr>
        <w:footnoteRef/>
      </w:r>
      <w:r w:rsidR="005137E4">
        <w:t xml:space="preserve"> </w:t>
      </w:r>
      <w:r w:rsidR="005137E4">
        <w:rPr>
          <w:b w:val="0"/>
        </w:rPr>
        <w:t xml:space="preserve">See </w:t>
      </w:r>
      <w:r w:rsidR="00063E71" w:rsidRPr="005137E4">
        <w:rPr>
          <w:rFonts w:eastAsia="Times New Roman" w:cs="Times New Roman"/>
          <w:b w:val="0"/>
          <w:color w:val="auto"/>
          <w:szCs w:val="22"/>
        </w:rPr>
        <w:t xml:space="preserve">East Coast and Great Lakes Shipping Employees Hours of Work Regulations, 1985 </w:t>
      </w:r>
      <w:r w:rsidR="00063E71" w:rsidRPr="005137E4">
        <w:rPr>
          <w:b w:val="0"/>
          <w:color w:val="auto"/>
          <w:szCs w:val="22"/>
        </w:rPr>
        <w:t>C.R.C., c. 987</w:t>
      </w:r>
      <w:r w:rsidR="002A6826">
        <w:rPr>
          <w:b w:val="0"/>
          <w:color w:val="auto"/>
          <w:szCs w:val="22"/>
        </w:rPr>
        <w:t xml:space="preserve">, Section 5; and </w:t>
      </w:r>
      <w:r w:rsidR="00593C45" w:rsidRPr="005137E4">
        <w:rPr>
          <w:rFonts w:eastAsia="Times New Roman" w:cs="Times New Roman"/>
          <w:b w:val="0"/>
          <w:color w:val="auto"/>
          <w:szCs w:val="22"/>
        </w:rPr>
        <w:t>West Coast Shipping Employees Hours of Work Regulations (C.R.C., c. 992)</w:t>
      </w:r>
      <w:r w:rsidR="002A6826">
        <w:rPr>
          <w:rFonts w:eastAsia="Times New Roman" w:cs="Times New Roman"/>
          <w:b w:val="0"/>
          <w:color w:val="auto"/>
          <w:szCs w:val="22"/>
        </w:rPr>
        <w:t xml:space="preserve">, </w:t>
      </w:r>
      <w:r w:rsidR="00F96E51">
        <w:rPr>
          <w:rFonts w:eastAsia="Times New Roman" w:cs="Times New Roman"/>
          <w:b w:val="0"/>
          <w:color w:val="auto"/>
          <w:szCs w:val="22"/>
        </w:rPr>
        <w:t xml:space="preserve">Section 3. </w:t>
      </w:r>
    </w:p>
    <w:p w14:paraId="5D798903" w14:textId="40684BE8" w:rsidR="00294DE7" w:rsidRPr="003272B0" w:rsidRDefault="00294DE7">
      <w:pPr>
        <w:pStyle w:val="FootnoteText"/>
        <w:rPr>
          <w:color w:val="000000" w:themeColor="text1"/>
        </w:rPr>
      </w:pPr>
    </w:p>
  </w:footnote>
  <w:footnote w:id="51">
    <w:p w14:paraId="543D0F43" w14:textId="3FD47FFB" w:rsidR="00291C71" w:rsidRPr="003272B0" w:rsidRDefault="00EB2EBA" w:rsidP="003272B0">
      <w:pPr>
        <w:rPr>
          <w:b/>
          <w:color w:val="000000" w:themeColor="text1"/>
          <w:sz w:val="22"/>
          <w:szCs w:val="22"/>
        </w:rPr>
      </w:pPr>
      <w:r w:rsidRPr="003272B0">
        <w:rPr>
          <w:rStyle w:val="FootnoteReference"/>
          <w:color w:val="000000" w:themeColor="text1"/>
        </w:rPr>
        <w:footnoteRef/>
      </w:r>
      <w:r w:rsidRPr="003272B0">
        <w:rPr>
          <w:color w:val="000000" w:themeColor="text1"/>
        </w:rPr>
        <w:t xml:space="preserve"> </w:t>
      </w:r>
      <w:r w:rsidR="004E3385" w:rsidRPr="003272B0">
        <w:rPr>
          <w:color w:val="000000" w:themeColor="text1"/>
          <w:sz w:val="22"/>
          <w:szCs w:val="22"/>
        </w:rPr>
        <w:t xml:space="preserve">D. Shan and </w:t>
      </w:r>
      <w:proofErr w:type="spellStart"/>
      <w:proofErr w:type="gramStart"/>
      <w:r w:rsidR="00D20EA5" w:rsidRPr="003272B0">
        <w:rPr>
          <w:color w:val="000000" w:themeColor="text1"/>
          <w:sz w:val="22"/>
          <w:szCs w:val="22"/>
        </w:rPr>
        <w:t>B.Neis</w:t>
      </w:r>
      <w:proofErr w:type="spellEnd"/>
      <w:proofErr w:type="gramEnd"/>
      <w:r w:rsidR="00D42905" w:rsidRPr="003272B0">
        <w:rPr>
          <w:color w:val="000000" w:themeColor="text1"/>
          <w:sz w:val="22"/>
          <w:szCs w:val="22"/>
        </w:rPr>
        <w:t>, “</w:t>
      </w:r>
      <w:r w:rsidR="00291C71" w:rsidRPr="003272B0">
        <w:rPr>
          <w:color w:val="000000" w:themeColor="text1"/>
          <w:sz w:val="22"/>
          <w:szCs w:val="22"/>
        </w:rPr>
        <w:t>Employment-related Mobility, Regulatory Weaknesses and Potential Fatigue-related Safety Concerns in Short-sea Seafaring on Canada’s Great Lakes and St. Lawrence</w:t>
      </w:r>
      <w:r w:rsidR="00291C71" w:rsidRPr="003272B0">
        <w:rPr>
          <w:b/>
          <w:color w:val="000000" w:themeColor="text1"/>
          <w:sz w:val="22"/>
          <w:szCs w:val="22"/>
        </w:rPr>
        <w:t xml:space="preserve"> </w:t>
      </w:r>
      <w:r w:rsidR="00291C71" w:rsidRPr="003272B0">
        <w:rPr>
          <w:color w:val="000000" w:themeColor="text1"/>
          <w:sz w:val="22"/>
          <w:szCs w:val="22"/>
        </w:rPr>
        <w:t>Seaway</w:t>
      </w:r>
      <w:r w:rsidR="00D42905" w:rsidRPr="003272B0">
        <w:rPr>
          <w:color w:val="000000" w:themeColor="text1"/>
          <w:sz w:val="22"/>
          <w:szCs w:val="22"/>
        </w:rPr>
        <w:t xml:space="preserve">”, </w:t>
      </w:r>
      <w:r w:rsidR="00D20EA5" w:rsidRPr="003272B0">
        <w:rPr>
          <w:color w:val="000000" w:themeColor="text1"/>
          <w:sz w:val="22"/>
          <w:szCs w:val="22"/>
        </w:rPr>
        <w:t>Safety Science, 2019 (</w:t>
      </w:r>
      <w:r w:rsidR="008058BC" w:rsidRPr="003272B0">
        <w:rPr>
          <w:color w:val="000000" w:themeColor="text1"/>
          <w:sz w:val="22"/>
          <w:szCs w:val="22"/>
        </w:rPr>
        <w:t>forthcoming</w:t>
      </w:r>
      <w:r w:rsidR="00D20EA5" w:rsidRPr="003272B0">
        <w:rPr>
          <w:color w:val="000000" w:themeColor="text1"/>
          <w:sz w:val="22"/>
          <w:szCs w:val="22"/>
        </w:rPr>
        <w:t>).</w:t>
      </w:r>
    </w:p>
    <w:p w14:paraId="2F6C5357" w14:textId="6A3E6F1B" w:rsidR="00EB2EBA" w:rsidRDefault="00EB2EBA" w:rsidP="00291C71">
      <w:pPr>
        <w:pStyle w:val="FootnoteText"/>
      </w:pPr>
    </w:p>
  </w:footnote>
  <w:footnote w:id="52">
    <w:p w14:paraId="617106D2" w14:textId="77777777" w:rsidR="008058BC" w:rsidRPr="003272B0" w:rsidRDefault="00782BB4" w:rsidP="008058BC">
      <w:r>
        <w:rPr>
          <w:rStyle w:val="FootnoteReference"/>
        </w:rPr>
        <w:footnoteRef/>
      </w:r>
      <w:r>
        <w:t xml:space="preserve"> </w:t>
      </w:r>
      <w:r w:rsidR="008058BC" w:rsidRPr="003272B0">
        <w:rPr>
          <w:color w:val="333333"/>
          <w:sz w:val="21"/>
          <w:szCs w:val="21"/>
          <w:shd w:val="clear" w:color="auto" w:fill="FFFFFF"/>
        </w:rPr>
        <w:t xml:space="preserve">Shan, Desai, and Katherine </w:t>
      </w:r>
      <w:proofErr w:type="spellStart"/>
      <w:r w:rsidR="008058BC" w:rsidRPr="003272B0">
        <w:rPr>
          <w:color w:val="333333"/>
          <w:sz w:val="21"/>
          <w:szCs w:val="21"/>
          <w:shd w:val="clear" w:color="auto" w:fill="FFFFFF"/>
        </w:rPr>
        <w:t>Lippel</w:t>
      </w:r>
      <w:proofErr w:type="spellEnd"/>
      <w:r w:rsidR="008058BC" w:rsidRPr="003272B0">
        <w:rPr>
          <w:color w:val="333333"/>
          <w:sz w:val="21"/>
          <w:szCs w:val="21"/>
          <w:shd w:val="clear" w:color="auto" w:fill="FFFFFF"/>
        </w:rPr>
        <w:t xml:space="preserve">. “Occupational Health and Safety Challenges </w:t>
      </w:r>
      <w:proofErr w:type="gramStart"/>
      <w:r w:rsidR="008058BC" w:rsidRPr="003272B0">
        <w:rPr>
          <w:color w:val="333333"/>
          <w:sz w:val="21"/>
          <w:szCs w:val="21"/>
          <w:shd w:val="clear" w:color="auto" w:fill="FFFFFF"/>
        </w:rPr>
        <w:t>From</w:t>
      </w:r>
      <w:proofErr w:type="gramEnd"/>
      <w:r w:rsidR="008058BC" w:rsidRPr="003272B0">
        <w:rPr>
          <w:color w:val="333333"/>
          <w:sz w:val="21"/>
          <w:szCs w:val="21"/>
          <w:shd w:val="clear" w:color="auto" w:fill="FFFFFF"/>
        </w:rPr>
        <w:t xml:space="preserve"> Employment-Related Geographical Mobility Among Canadian Seafarers on the Great Lakes and St. Lawrence Seaway.” </w:t>
      </w:r>
      <w:r w:rsidR="008058BC" w:rsidRPr="003272B0">
        <w:rPr>
          <w:i/>
          <w:iCs/>
          <w:color w:val="333333"/>
          <w:sz w:val="21"/>
          <w:szCs w:val="21"/>
          <w:shd w:val="clear" w:color="auto" w:fill="FFFFFF"/>
        </w:rPr>
        <w:t>NEW SOLUTIONS: A Journal of Environmental and Occupational Health Policy</w:t>
      </w:r>
      <w:r w:rsidR="008058BC" w:rsidRPr="003272B0">
        <w:rPr>
          <w:color w:val="333333"/>
          <w:sz w:val="21"/>
          <w:szCs w:val="21"/>
          <w:shd w:val="clear" w:color="auto" w:fill="FFFFFF"/>
        </w:rPr>
        <w:t>, Aug. 2019, doi:</w:t>
      </w:r>
      <w:hyperlink r:id="rId15" w:history="1">
        <w:r w:rsidR="008058BC" w:rsidRPr="003272B0">
          <w:rPr>
            <w:rStyle w:val="Hyperlink"/>
            <w:color w:val="006ACC"/>
            <w:sz w:val="21"/>
            <w:szCs w:val="21"/>
            <w:shd w:val="clear" w:color="auto" w:fill="FFFFFF"/>
          </w:rPr>
          <w:t>10.1177/1048291119870762</w:t>
        </w:r>
      </w:hyperlink>
      <w:r w:rsidR="008058BC" w:rsidRPr="003272B0">
        <w:rPr>
          <w:color w:val="333333"/>
          <w:sz w:val="21"/>
          <w:szCs w:val="21"/>
          <w:shd w:val="clear" w:color="auto" w:fill="FFFFFF"/>
        </w:rPr>
        <w:t>.</w:t>
      </w:r>
    </w:p>
    <w:p w14:paraId="4DA61DE2" w14:textId="3D9A3F09" w:rsidR="00782BB4" w:rsidRDefault="00782BB4">
      <w:pPr>
        <w:pStyle w:val="FootnoteText"/>
      </w:pPr>
    </w:p>
  </w:footnote>
  <w:footnote w:id="53">
    <w:p w14:paraId="00FF1621" w14:textId="3AD6DD1A" w:rsidR="00686B16" w:rsidRPr="00DD0D90" w:rsidRDefault="003C6B95" w:rsidP="00686B16">
      <w:pPr>
        <w:rPr>
          <w:sz w:val="22"/>
          <w:szCs w:val="22"/>
        </w:rPr>
      </w:pPr>
      <w:r>
        <w:rPr>
          <w:rStyle w:val="FootnoteReference"/>
        </w:rPr>
        <w:footnoteRef/>
      </w:r>
      <w:r>
        <w:t xml:space="preserve"> </w:t>
      </w:r>
      <w:r w:rsidR="00883C4E" w:rsidRPr="00DD0D90">
        <w:rPr>
          <w:sz w:val="22"/>
          <w:szCs w:val="22"/>
        </w:rPr>
        <w:t>Workplace Violence and Workplace Harassment Legislation: Key Provisions – Provinces and Territories (2017), available online &lt;</w:t>
      </w:r>
      <w:hyperlink r:id="rId16" w:history="1">
        <w:r w:rsidR="00883C4E" w:rsidRPr="00DD0D90">
          <w:rPr>
            <w:rStyle w:val="Hyperlink"/>
            <w:sz w:val="22"/>
            <w:szCs w:val="22"/>
          </w:rPr>
          <w:t>http://workplaceviolence.ca/wp-content/uploads/2017/12/Workplace-Violence-and-Workplace-Harassment-Legislation.pdf</w:t>
        </w:r>
      </w:hyperlink>
      <w:r w:rsidR="00883C4E" w:rsidRPr="00DD0D90">
        <w:rPr>
          <w:sz w:val="22"/>
          <w:szCs w:val="22"/>
        </w:rPr>
        <w:t>&gt;</w:t>
      </w:r>
    </w:p>
    <w:p w14:paraId="26313649" w14:textId="115CDB39" w:rsidR="003C6B95" w:rsidRDefault="003C6B95">
      <w:pPr>
        <w:pStyle w:val="FootnoteText"/>
      </w:pPr>
    </w:p>
  </w:footnote>
  <w:footnote w:id="54">
    <w:p w14:paraId="07ABD5D7" w14:textId="7551B507" w:rsidR="006266EE" w:rsidRPr="00DD0D90" w:rsidRDefault="003009F5" w:rsidP="006266EE">
      <w:pPr>
        <w:rPr>
          <w:sz w:val="22"/>
          <w:szCs w:val="22"/>
        </w:rPr>
      </w:pPr>
      <w:r>
        <w:rPr>
          <w:rStyle w:val="FootnoteReference"/>
        </w:rPr>
        <w:footnoteRef/>
      </w:r>
      <w:r>
        <w:t xml:space="preserve"> </w:t>
      </w:r>
      <w:r w:rsidR="006266EE" w:rsidRPr="00DD0D90">
        <w:rPr>
          <w:sz w:val="22"/>
          <w:szCs w:val="22"/>
        </w:rPr>
        <w:t xml:space="preserve">Violence in the Workplace Regulations, N.S. Reg. 209/2007 </w:t>
      </w:r>
      <w:r w:rsidR="002221DE" w:rsidRPr="00DD0D90">
        <w:rPr>
          <w:sz w:val="22"/>
          <w:szCs w:val="22"/>
        </w:rPr>
        <w:t>VWR, s. 13(1)</w:t>
      </w:r>
    </w:p>
    <w:p w14:paraId="4E51E567" w14:textId="7896705E" w:rsidR="003009F5" w:rsidRDefault="003009F5">
      <w:pPr>
        <w:pStyle w:val="FootnoteText"/>
      </w:pPr>
    </w:p>
  </w:footnote>
  <w:footnote w:id="55">
    <w:p w14:paraId="11CF6CB7" w14:textId="481F9C3A" w:rsidR="008F543B" w:rsidRPr="008058BC" w:rsidRDefault="008F543B" w:rsidP="008058BC">
      <w:pPr>
        <w:rPr>
          <w:sz w:val="22"/>
          <w:szCs w:val="22"/>
        </w:rPr>
      </w:pPr>
      <w:r>
        <w:rPr>
          <w:rStyle w:val="FootnoteReference"/>
        </w:rPr>
        <w:footnoteRef/>
      </w:r>
      <w:r>
        <w:t xml:space="preserve"> </w:t>
      </w:r>
      <w:r w:rsidR="000F74C8" w:rsidRPr="00DD0D90">
        <w:rPr>
          <w:sz w:val="22"/>
          <w:szCs w:val="22"/>
        </w:rPr>
        <w:t xml:space="preserve">OHSR, s. 10(2) Occupational Health and Safety Regulations, 2009, 70/09 </w:t>
      </w:r>
    </w:p>
  </w:footnote>
  <w:footnote w:id="56">
    <w:p w14:paraId="793E74C4" w14:textId="77777777" w:rsidR="000F3AD1" w:rsidRPr="000F3AD1" w:rsidRDefault="00D06F89" w:rsidP="000F3AD1">
      <w:pPr>
        <w:rPr>
          <w:sz w:val="22"/>
          <w:szCs w:val="22"/>
        </w:rPr>
      </w:pPr>
      <w:r>
        <w:rPr>
          <w:rStyle w:val="FootnoteReference"/>
        </w:rPr>
        <w:footnoteRef/>
      </w:r>
      <w:r>
        <w:t xml:space="preserve"> </w:t>
      </w:r>
      <w:r w:rsidR="000F3AD1" w:rsidRPr="000F3AD1">
        <w:rPr>
          <w:color w:val="222222"/>
          <w:sz w:val="22"/>
          <w:szCs w:val="22"/>
          <w:shd w:val="clear" w:color="auto" w:fill="FFFFFF"/>
        </w:rPr>
        <w:t>Zurcher Jr, Louis A. "The sailor aboard ship: A study of role behavior in a total institution." </w:t>
      </w:r>
      <w:r w:rsidR="000F3AD1" w:rsidRPr="000F3AD1">
        <w:rPr>
          <w:i/>
          <w:iCs/>
          <w:color w:val="222222"/>
          <w:sz w:val="22"/>
          <w:szCs w:val="22"/>
          <w:shd w:val="clear" w:color="auto" w:fill="FFFFFF"/>
        </w:rPr>
        <w:t>Social Forces</w:t>
      </w:r>
      <w:r w:rsidR="000F3AD1" w:rsidRPr="000F3AD1">
        <w:rPr>
          <w:color w:val="222222"/>
          <w:sz w:val="22"/>
          <w:szCs w:val="22"/>
          <w:shd w:val="clear" w:color="auto" w:fill="FFFFFF"/>
        </w:rPr>
        <w:t> 43, no. 3 (1965): 389-400.</w:t>
      </w:r>
    </w:p>
    <w:p w14:paraId="7D846FAB" w14:textId="59BB12DC" w:rsidR="00D06F89" w:rsidRDefault="00D06F89">
      <w:pPr>
        <w:pStyle w:val="FootnoteText"/>
      </w:pPr>
    </w:p>
  </w:footnote>
  <w:footnote w:id="57">
    <w:p w14:paraId="61FF040F" w14:textId="5BE2F1B6" w:rsidR="007D6DD5" w:rsidRDefault="00374E8B" w:rsidP="007D6DD5">
      <w:r>
        <w:rPr>
          <w:rStyle w:val="FootnoteReference"/>
        </w:rPr>
        <w:footnoteRef/>
      </w:r>
      <w:r w:rsidR="003441B5">
        <w:t xml:space="preserve"> </w:t>
      </w:r>
      <w:r w:rsidR="003441B5" w:rsidRPr="00560429">
        <w:rPr>
          <w:sz w:val="22"/>
          <w:szCs w:val="22"/>
        </w:rPr>
        <w:t>Labour Program Forward Regulatory Plan from 2018 to 2020, Available online</w:t>
      </w:r>
      <w:r w:rsidRPr="00560429">
        <w:rPr>
          <w:sz w:val="22"/>
          <w:szCs w:val="22"/>
        </w:rPr>
        <w:t xml:space="preserve"> </w:t>
      </w:r>
      <w:r w:rsidR="003441B5" w:rsidRPr="00560429">
        <w:rPr>
          <w:sz w:val="22"/>
          <w:szCs w:val="22"/>
        </w:rPr>
        <w:t>&lt;</w:t>
      </w:r>
      <w:hyperlink r:id="rId17" w:history="1">
        <w:r w:rsidR="003441B5" w:rsidRPr="00560429">
          <w:rPr>
            <w:rStyle w:val="Hyperlink"/>
            <w:sz w:val="22"/>
            <w:szCs w:val="22"/>
          </w:rPr>
          <w:t>https://www.canada.ca/en/employment-social-development/programs/laws-regulations/labour/forward-regulatory-plan/labour-forward-regulatory-plan.html</w:t>
        </w:r>
      </w:hyperlink>
      <w:r w:rsidR="003441B5" w:rsidRPr="00560429">
        <w:rPr>
          <w:sz w:val="22"/>
          <w:szCs w:val="22"/>
        </w:rPr>
        <w:t>&gt;</w:t>
      </w:r>
    </w:p>
    <w:p w14:paraId="3159E93A" w14:textId="1886D893" w:rsidR="00374E8B" w:rsidRDefault="00374E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32458"/>
    <w:multiLevelType w:val="multilevel"/>
    <w:tmpl w:val="07883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F583D"/>
    <w:multiLevelType w:val="hybridMultilevel"/>
    <w:tmpl w:val="CE1EDC8E"/>
    <w:lvl w:ilvl="0" w:tplc="DABA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C7D0B"/>
    <w:multiLevelType w:val="hybridMultilevel"/>
    <w:tmpl w:val="FD3ED12E"/>
    <w:lvl w:ilvl="0" w:tplc="DABA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D38C2"/>
    <w:multiLevelType w:val="hybridMultilevel"/>
    <w:tmpl w:val="B438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416718">
    <w:abstractNumId w:val="3"/>
  </w:num>
  <w:num w:numId="2" w16cid:durableId="670451422">
    <w:abstractNumId w:val="0"/>
  </w:num>
  <w:num w:numId="3" w16cid:durableId="37290018">
    <w:abstractNumId w:val="1"/>
  </w:num>
  <w:num w:numId="4" w16cid:durableId="1907254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A4"/>
    <w:rsid w:val="00000B30"/>
    <w:rsid w:val="00004321"/>
    <w:rsid w:val="00007353"/>
    <w:rsid w:val="00007C14"/>
    <w:rsid w:val="00010AE0"/>
    <w:rsid w:val="000118E9"/>
    <w:rsid w:val="00011A94"/>
    <w:rsid w:val="00011FD5"/>
    <w:rsid w:val="000132B7"/>
    <w:rsid w:val="00015D8E"/>
    <w:rsid w:val="0002023C"/>
    <w:rsid w:val="000218D3"/>
    <w:rsid w:val="00024770"/>
    <w:rsid w:val="00027241"/>
    <w:rsid w:val="000311F5"/>
    <w:rsid w:val="00032332"/>
    <w:rsid w:val="00034555"/>
    <w:rsid w:val="000350D1"/>
    <w:rsid w:val="000409EF"/>
    <w:rsid w:val="00041602"/>
    <w:rsid w:val="00043774"/>
    <w:rsid w:val="000438B5"/>
    <w:rsid w:val="00043C76"/>
    <w:rsid w:val="00044799"/>
    <w:rsid w:val="000475FD"/>
    <w:rsid w:val="00047F46"/>
    <w:rsid w:val="00050790"/>
    <w:rsid w:val="000515ED"/>
    <w:rsid w:val="00054792"/>
    <w:rsid w:val="00055C1B"/>
    <w:rsid w:val="000569DD"/>
    <w:rsid w:val="00056C38"/>
    <w:rsid w:val="00063E71"/>
    <w:rsid w:val="00065052"/>
    <w:rsid w:val="00070528"/>
    <w:rsid w:val="000707B0"/>
    <w:rsid w:val="000722E6"/>
    <w:rsid w:val="00073D57"/>
    <w:rsid w:val="00083262"/>
    <w:rsid w:val="0008326B"/>
    <w:rsid w:val="000910DF"/>
    <w:rsid w:val="00091399"/>
    <w:rsid w:val="00096142"/>
    <w:rsid w:val="0009623B"/>
    <w:rsid w:val="000A04F2"/>
    <w:rsid w:val="000A11BE"/>
    <w:rsid w:val="000A13FB"/>
    <w:rsid w:val="000A1606"/>
    <w:rsid w:val="000A1B7E"/>
    <w:rsid w:val="000A5B51"/>
    <w:rsid w:val="000A5C65"/>
    <w:rsid w:val="000A623E"/>
    <w:rsid w:val="000C05CB"/>
    <w:rsid w:val="000C2BA5"/>
    <w:rsid w:val="000D038D"/>
    <w:rsid w:val="000D0EF1"/>
    <w:rsid w:val="000D1ED8"/>
    <w:rsid w:val="000D2856"/>
    <w:rsid w:val="000D5D50"/>
    <w:rsid w:val="000D6F68"/>
    <w:rsid w:val="000E00B8"/>
    <w:rsid w:val="000E1D8E"/>
    <w:rsid w:val="000E2D84"/>
    <w:rsid w:val="000E39DB"/>
    <w:rsid w:val="000E441F"/>
    <w:rsid w:val="000E6CBB"/>
    <w:rsid w:val="000E74EF"/>
    <w:rsid w:val="000F3AD1"/>
    <w:rsid w:val="000F5B69"/>
    <w:rsid w:val="000F74C8"/>
    <w:rsid w:val="001002A4"/>
    <w:rsid w:val="00100C58"/>
    <w:rsid w:val="00103E28"/>
    <w:rsid w:val="00104EF4"/>
    <w:rsid w:val="00112E82"/>
    <w:rsid w:val="00113377"/>
    <w:rsid w:val="001144E0"/>
    <w:rsid w:val="001152A5"/>
    <w:rsid w:val="001165F6"/>
    <w:rsid w:val="001207A2"/>
    <w:rsid w:val="0012441F"/>
    <w:rsid w:val="00130D55"/>
    <w:rsid w:val="001319B2"/>
    <w:rsid w:val="0013362C"/>
    <w:rsid w:val="00134936"/>
    <w:rsid w:val="00136D31"/>
    <w:rsid w:val="00137F10"/>
    <w:rsid w:val="00137F53"/>
    <w:rsid w:val="001466A4"/>
    <w:rsid w:val="00146DF4"/>
    <w:rsid w:val="00147174"/>
    <w:rsid w:val="00147548"/>
    <w:rsid w:val="00151682"/>
    <w:rsid w:val="00152375"/>
    <w:rsid w:val="00161D73"/>
    <w:rsid w:val="0016237E"/>
    <w:rsid w:val="00162A92"/>
    <w:rsid w:val="00164C3C"/>
    <w:rsid w:val="00165146"/>
    <w:rsid w:val="0016669C"/>
    <w:rsid w:val="00166F81"/>
    <w:rsid w:val="0016799B"/>
    <w:rsid w:val="00167DAC"/>
    <w:rsid w:val="001719D6"/>
    <w:rsid w:val="00172D0E"/>
    <w:rsid w:val="00174889"/>
    <w:rsid w:val="00175256"/>
    <w:rsid w:val="00176CF8"/>
    <w:rsid w:val="00180C1C"/>
    <w:rsid w:val="001822EC"/>
    <w:rsid w:val="00182A23"/>
    <w:rsid w:val="00183D20"/>
    <w:rsid w:val="00184178"/>
    <w:rsid w:val="0018616F"/>
    <w:rsid w:val="0019323E"/>
    <w:rsid w:val="00194756"/>
    <w:rsid w:val="00194CA7"/>
    <w:rsid w:val="0019628B"/>
    <w:rsid w:val="001964EC"/>
    <w:rsid w:val="00196A30"/>
    <w:rsid w:val="001A1065"/>
    <w:rsid w:val="001A45D9"/>
    <w:rsid w:val="001A4DE1"/>
    <w:rsid w:val="001A6E6F"/>
    <w:rsid w:val="001B1011"/>
    <w:rsid w:val="001B2C80"/>
    <w:rsid w:val="001B45C9"/>
    <w:rsid w:val="001B557C"/>
    <w:rsid w:val="001C0784"/>
    <w:rsid w:val="001C1684"/>
    <w:rsid w:val="001C3DB0"/>
    <w:rsid w:val="001C5B32"/>
    <w:rsid w:val="001C633D"/>
    <w:rsid w:val="001D0D51"/>
    <w:rsid w:val="001D284A"/>
    <w:rsid w:val="001D31F7"/>
    <w:rsid w:val="001D500A"/>
    <w:rsid w:val="001D50FE"/>
    <w:rsid w:val="001D633E"/>
    <w:rsid w:val="001D68B2"/>
    <w:rsid w:val="001E02BD"/>
    <w:rsid w:val="001E2E93"/>
    <w:rsid w:val="001E723E"/>
    <w:rsid w:val="001F1257"/>
    <w:rsid w:val="001F21F0"/>
    <w:rsid w:val="001F589A"/>
    <w:rsid w:val="001F6252"/>
    <w:rsid w:val="001F688E"/>
    <w:rsid w:val="00202008"/>
    <w:rsid w:val="00202B7A"/>
    <w:rsid w:val="00203F44"/>
    <w:rsid w:val="00203FE5"/>
    <w:rsid w:val="00204DA4"/>
    <w:rsid w:val="002059C6"/>
    <w:rsid w:val="00207E20"/>
    <w:rsid w:val="002131AE"/>
    <w:rsid w:val="00215CD3"/>
    <w:rsid w:val="0021683C"/>
    <w:rsid w:val="002221DE"/>
    <w:rsid w:val="0022334E"/>
    <w:rsid w:val="00223A8E"/>
    <w:rsid w:val="002241D5"/>
    <w:rsid w:val="002268DD"/>
    <w:rsid w:val="0022789A"/>
    <w:rsid w:val="00227BF2"/>
    <w:rsid w:val="0023706F"/>
    <w:rsid w:val="002370A9"/>
    <w:rsid w:val="00247F5E"/>
    <w:rsid w:val="00250271"/>
    <w:rsid w:val="00250BA7"/>
    <w:rsid w:val="002525A0"/>
    <w:rsid w:val="00254185"/>
    <w:rsid w:val="00256B2D"/>
    <w:rsid w:val="00257A3F"/>
    <w:rsid w:val="00262FAB"/>
    <w:rsid w:val="00264590"/>
    <w:rsid w:val="00264EE6"/>
    <w:rsid w:val="002650A8"/>
    <w:rsid w:val="00265845"/>
    <w:rsid w:val="00267B8A"/>
    <w:rsid w:val="00267FDC"/>
    <w:rsid w:val="00274805"/>
    <w:rsid w:val="00280221"/>
    <w:rsid w:val="00281542"/>
    <w:rsid w:val="00283766"/>
    <w:rsid w:val="00284442"/>
    <w:rsid w:val="00291C71"/>
    <w:rsid w:val="00293077"/>
    <w:rsid w:val="00293485"/>
    <w:rsid w:val="00294DE7"/>
    <w:rsid w:val="00295C60"/>
    <w:rsid w:val="002A09C5"/>
    <w:rsid w:val="002A1972"/>
    <w:rsid w:val="002A22EE"/>
    <w:rsid w:val="002A358D"/>
    <w:rsid w:val="002A388F"/>
    <w:rsid w:val="002A623D"/>
    <w:rsid w:val="002A6826"/>
    <w:rsid w:val="002B0D71"/>
    <w:rsid w:val="002B1DEC"/>
    <w:rsid w:val="002B459C"/>
    <w:rsid w:val="002B495B"/>
    <w:rsid w:val="002B4EB1"/>
    <w:rsid w:val="002C01E8"/>
    <w:rsid w:val="002C2BF1"/>
    <w:rsid w:val="002C3495"/>
    <w:rsid w:val="002C3DC7"/>
    <w:rsid w:val="002C5142"/>
    <w:rsid w:val="002C5CD9"/>
    <w:rsid w:val="002C6A9C"/>
    <w:rsid w:val="002C6B1B"/>
    <w:rsid w:val="002D1F7B"/>
    <w:rsid w:val="002D3B55"/>
    <w:rsid w:val="002D45E0"/>
    <w:rsid w:val="002D576C"/>
    <w:rsid w:val="002E1843"/>
    <w:rsid w:val="002E2A3C"/>
    <w:rsid w:val="002E32B4"/>
    <w:rsid w:val="002E4412"/>
    <w:rsid w:val="002E55CC"/>
    <w:rsid w:val="002E5837"/>
    <w:rsid w:val="002E79E8"/>
    <w:rsid w:val="002E7B7D"/>
    <w:rsid w:val="002F1EA3"/>
    <w:rsid w:val="002F2B42"/>
    <w:rsid w:val="002F3154"/>
    <w:rsid w:val="003009F5"/>
    <w:rsid w:val="00304EB6"/>
    <w:rsid w:val="0030501C"/>
    <w:rsid w:val="00306DC0"/>
    <w:rsid w:val="00312A2B"/>
    <w:rsid w:val="003171CC"/>
    <w:rsid w:val="00322B6F"/>
    <w:rsid w:val="003272B0"/>
    <w:rsid w:val="00327891"/>
    <w:rsid w:val="00327B69"/>
    <w:rsid w:val="00333A9B"/>
    <w:rsid w:val="003346C1"/>
    <w:rsid w:val="00336592"/>
    <w:rsid w:val="00336D4B"/>
    <w:rsid w:val="00337548"/>
    <w:rsid w:val="00340604"/>
    <w:rsid w:val="00341B87"/>
    <w:rsid w:val="0034273B"/>
    <w:rsid w:val="00342B8A"/>
    <w:rsid w:val="003441B5"/>
    <w:rsid w:val="00345E5D"/>
    <w:rsid w:val="00346ED9"/>
    <w:rsid w:val="00352B08"/>
    <w:rsid w:val="00352CE6"/>
    <w:rsid w:val="00356032"/>
    <w:rsid w:val="00363ED9"/>
    <w:rsid w:val="00370881"/>
    <w:rsid w:val="00370D96"/>
    <w:rsid w:val="00372B20"/>
    <w:rsid w:val="0037412F"/>
    <w:rsid w:val="00374866"/>
    <w:rsid w:val="00374E8B"/>
    <w:rsid w:val="00375BD2"/>
    <w:rsid w:val="00375DBC"/>
    <w:rsid w:val="003771CB"/>
    <w:rsid w:val="00380E1D"/>
    <w:rsid w:val="00384771"/>
    <w:rsid w:val="00386533"/>
    <w:rsid w:val="00391B37"/>
    <w:rsid w:val="00392577"/>
    <w:rsid w:val="003946E2"/>
    <w:rsid w:val="00394D79"/>
    <w:rsid w:val="00396E9F"/>
    <w:rsid w:val="003A09F9"/>
    <w:rsid w:val="003A16DB"/>
    <w:rsid w:val="003A17DC"/>
    <w:rsid w:val="003A4282"/>
    <w:rsid w:val="003A7EBF"/>
    <w:rsid w:val="003B2089"/>
    <w:rsid w:val="003B323E"/>
    <w:rsid w:val="003B46A2"/>
    <w:rsid w:val="003B5F91"/>
    <w:rsid w:val="003B69BA"/>
    <w:rsid w:val="003C1B72"/>
    <w:rsid w:val="003C2B1E"/>
    <w:rsid w:val="003C3558"/>
    <w:rsid w:val="003C3995"/>
    <w:rsid w:val="003C3AB2"/>
    <w:rsid w:val="003C538E"/>
    <w:rsid w:val="003C59CE"/>
    <w:rsid w:val="003C6B95"/>
    <w:rsid w:val="003C76AB"/>
    <w:rsid w:val="003D1D17"/>
    <w:rsid w:val="003D2B30"/>
    <w:rsid w:val="003D3ACC"/>
    <w:rsid w:val="003D4817"/>
    <w:rsid w:val="003D6FDD"/>
    <w:rsid w:val="003D7550"/>
    <w:rsid w:val="003E54DE"/>
    <w:rsid w:val="003E5B22"/>
    <w:rsid w:val="003F2D41"/>
    <w:rsid w:val="003F4A79"/>
    <w:rsid w:val="0040161D"/>
    <w:rsid w:val="004027B3"/>
    <w:rsid w:val="0040341C"/>
    <w:rsid w:val="00405387"/>
    <w:rsid w:val="004058C0"/>
    <w:rsid w:val="00405ADF"/>
    <w:rsid w:val="00413AC4"/>
    <w:rsid w:val="00414025"/>
    <w:rsid w:val="00414AA5"/>
    <w:rsid w:val="00414E04"/>
    <w:rsid w:val="00423D27"/>
    <w:rsid w:val="00424F7C"/>
    <w:rsid w:val="0042695B"/>
    <w:rsid w:val="004273B6"/>
    <w:rsid w:val="004349F3"/>
    <w:rsid w:val="004414C0"/>
    <w:rsid w:val="004418F7"/>
    <w:rsid w:val="00441A8B"/>
    <w:rsid w:val="004426F6"/>
    <w:rsid w:val="00445A5E"/>
    <w:rsid w:val="004508AF"/>
    <w:rsid w:val="00452E19"/>
    <w:rsid w:val="004533B0"/>
    <w:rsid w:val="00454150"/>
    <w:rsid w:val="00457085"/>
    <w:rsid w:val="004574D6"/>
    <w:rsid w:val="004620E5"/>
    <w:rsid w:val="0047176D"/>
    <w:rsid w:val="00471C9F"/>
    <w:rsid w:val="00475709"/>
    <w:rsid w:val="00476D2E"/>
    <w:rsid w:val="00480814"/>
    <w:rsid w:val="00481720"/>
    <w:rsid w:val="004844A2"/>
    <w:rsid w:val="004847EF"/>
    <w:rsid w:val="0048516B"/>
    <w:rsid w:val="004908B3"/>
    <w:rsid w:val="004935C5"/>
    <w:rsid w:val="004A024B"/>
    <w:rsid w:val="004A07F8"/>
    <w:rsid w:val="004A520C"/>
    <w:rsid w:val="004B03A7"/>
    <w:rsid w:val="004B39E2"/>
    <w:rsid w:val="004B62D8"/>
    <w:rsid w:val="004B7AA4"/>
    <w:rsid w:val="004C0113"/>
    <w:rsid w:val="004C088A"/>
    <w:rsid w:val="004C1FC9"/>
    <w:rsid w:val="004C2D14"/>
    <w:rsid w:val="004C34EA"/>
    <w:rsid w:val="004C4180"/>
    <w:rsid w:val="004C5532"/>
    <w:rsid w:val="004D0794"/>
    <w:rsid w:val="004D0C9C"/>
    <w:rsid w:val="004D10FC"/>
    <w:rsid w:val="004D57A0"/>
    <w:rsid w:val="004D6FDF"/>
    <w:rsid w:val="004D76C4"/>
    <w:rsid w:val="004E1495"/>
    <w:rsid w:val="004E1B88"/>
    <w:rsid w:val="004E2E3D"/>
    <w:rsid w:val="004E3385"/>
    <w:rsid w:val="004E3AD0"/>
    <w:rsid w:val="004E5B86"/>
    <w:rsid w:val="004E78BF"/>
    <w:rsid w:val="004F0C19"/>
    <w:rsid w:val="004F3DA9"/>
    <w:rsid w:val="004F5F6B"/>
    <w:rsid w:val="004F6D20"/>
    <w:rsid w:val="00500065"/>
    <w:rsid w:val="00501F3C"/>
    <w:rsid w:val="00505A6C"/>
    <w:rsid w:val="00505D4B"/>
    <w:rsid w:val="00507828"/>
    <w:rsid w:val="0051053E"/>
    <w:rsid w:val="005111E8"/>
    <w:rsid w:val="005137E4"/>
    <w:rsid w:val="00514BA4"/>
    <w:rsid w:val="005204A2"/>
    <w:rsid w:val="00521F4C"/>
    <w:rsid w:val="00523D68"/>
    <w:rsid w:val="005243C9"/>
    <w:rsid w:val="005255CE"/>
    <w:rsid w:val="005260DC"/>
    <w:rsid w:val="00533F7C"/>
    <w:rsid w:val="00534255"/>
    <w:rsid w:val="00535AF0"/>
    <w:rsid w:val="0053636E"/>
    <w:rsid w:val="005375F7"/>
    <w:rsid w:val="0054169E"/>
    <w:rsid w:val="00542CCD"/>
    <w:rsid w:val="00542E0B"/>
    <w:rsid w:val="00543C38"/>
    <w:rsid w:val="00547531"/>
    <w:rsid w:val="00550603"/>
    <w:rsid w:val="00551C44"/>
    <w:rsid w:val="005525B3"/>
    <w:rsid w:val="0055287C"/>
    <w:rsid w:val="00560429"/>
    <w:rsid w:val="0056419D"/>
    <w:rsid w:val="0056573C"/>
    <w:rsid w:val="00567810"/>
    <w:rsid w:val="005709C3"/>
    <w:rsid w:val="00571777"/>
    <w:rsid w:val="00573038"/>
    <w:rsid w:val="005817C1"/>
    <w:rsid w:val="00590844"/>
    <w:rsid w:val="00591F65"/>
    <w:rsid w:val="00593C45"/>
    <w:rsid w:val="005A05E7"/>
    <w:rsid w:val="005A0702"/>
    <w:rsid w:val="005A143B"/>
    <w:rsid w:val="005A1512"/>
    <w:rsid w:val="005A22AC"/>
    <w:rsid w:val="005A3543"/>
    <w:rsid w:val="005A5F04"/>
    <w:rsid w:val="005A6FB7"/>
    <w:rsid w:val="005B1318"/>
    <w:rsid w:val="005B3EC0"/>
    <w:rsid w:val="005B534E"/>
    <w:rsid w:val="005B5A93"/>
    <w:rsid w:val="005B64B4"/>
    <w:rsid w:val="005B65D1"/>
    <w:rsid w:val="005B78E8"/>
    <w:rsid w:val="005C5EEF"/>
    <w:rsid w:val="005D0D44"/>
    <w:rsid w:val="005D1728"/>
    <w:rsid w:val="005D25D2"/>
    <w:rsid w:val="005D269B"/>
    <w:rsid w:val="005D58CD"/>
    <w:rsid w:val="005D65AD"/>
    <w:rsid w:val="005E1787"/>
    <w:rsid w:val="005E38CE"/>
    <w:rsid w:val="005E3D6D"/>
    <w:rsid w:val="005E4BC3"/>
    <w:rsid w:val="005E702E"/>
    <w:rsid w:val="005F0AB5"/>
    <w:rsid w:val="005F1837"/>
    <w:rsid w:val="005F3DB5"/>
    <w:rsid w:val="005F4FD0"/>
    <w:rsid w:val="005F77CE"/>
    <w:rsid w:val="0060334D"/>
    <w:rsid w:val="00606A5D"/>
    <w:rsid w:val="00607EFC"/>
    <w:rsid w:val="00610416"/>
    <w:rsid w:val="00612A37"/>
    <w:rsid w:val="00613D58"/>
    <w:rsid w:val="00616889"/>
    <w:rsid w:val="0061717C"/>
    <w:rsid w:val="0062163E"/>
    <w:rsid w:val="00621BD1"/>
    <w:rsid w:val="00621C64"/>
    <w:rsid w:val="00622A45"/>
    <w:rsid w:val="00626232"/>
    <w:rsid w:val="006265E7"/>
    <w:rsid w:val="006266EE"/>
    <w:rsid w:val="0062679F"/>
    <w:rsid w:val="00631644"/>
    <w:rsid w:val="0063180C"/>
    <w:rsid w:val="006326CF"/>
    <w:rsid w:val="00634078"/>
    <w:rsid w:val="0063548D"/>
    <w:rsid w:val="00635AA8"/>
    <w:rsid w:val="006415C2"/>
    <w:rsid w:val="006418BE"/>
    <w:rsid w:val="00642D40"/>
    <w:rsid w:val="00643C40"/>
    <w:rsid w:val="00643FA8"/>
    <w:rsid w:val="0064721C"/>
    <w:rsid w:val="006527C7"/>
    <w:rsid w:val="006533B9"/>
    <w:rsid w:val="00654BD9"/>
    <w:rsid w:val="006567F1"/>
    <w:rsid w:val="00662E02"/>
    <w:rsid w:val="0066337B"/>
    <w:rsid w:val="0067115D"/>
    <w:rsid w:val="0067196B"/>
    <w:rsid w:val="00674B30"/>
    <w:rsid w:val="00674F94"/>
    <w:rsid w:val="0067528C"/>
    <w:rsid w:val="00675EA8"/>
    <w:rsid w:val="00681054"/>
    <w:rsid w:val="00682588"/>
    <w:rsid w:val="00683164"/>
    <w:rsid w:val="00685BED"/>
    <w:rsid w:val="00685EBE"/>
    <w:rsid w:val="00685EC3"/>
    <w:rsid w:val="00686B16"/>
    <w:rsid w:val="00690838"/>
    <w:rsid w:val="00691C8F"/>
    <w:rsid w:val="0069284D"/>
    <w:rsid w:val="00693809"/>
    <w:rsid w:val="0069703F"/>
    <w:rsid w:val="006A512C"/>
    <w:rsid w:val="006A53EC"/>
    <w:rsid w:val="006A7516"/>
    <w:rsid w:val="006A7DF5"/>
    <w:rsid w:val="006B159B"/>
    <w:rsid w:val="006B6A35"/>
    <w:rsid w:val="006C381B"/>
    <w:rsid w:val="006C3D01"/>
    <w:rsid w:val="006C41CF"/>
    <w:rsid w:val="006C4308"/>
    <w:rsid w:val="006D09A8"/>
    <w:rsid w:val="006D0FEE"/>
    <w:rsid w:val="006D5256"/>
    <w:rsid w:val="006D7AAA"/>
    <w:rsid w:val="006E0BC2"/>
    <w:rsid w:val="006E1140"/>
    <w:rsid w:val="006E17CF"/>
    <w:rsid w:val="006E1910"/>
    <w:rsid w:val="006E2E3F"/>
    <w:rsid w:val="006E3486"/>
    <w:rsid w:val="006E5182"/>
    <w:rsid w:val="006E5F33"/>
    <w:rsid w:val="006F0193"/>
    <w:rsid w:val="006F48BF"/>
    <w:rsid w:val="00700270"/>
    <w:rsid w:val="0070137F"/>
    <w:rsid w:val="00701EC0"/>
    <w:rsid w:val="007065B0"/>
    <w:rsid w:val="0070663E"/>
    <w:rsid w:val="00707360"/>
    <w:rsid w:val="007100CE"/>
    <w:rsid w:val="00712A3C"/>
    <w:rsid w:val="00713BF4"/>
    <w:rsid w:val="00713D54"/>
    <w:rsid w:val="007147D3"/>
    <w:rsid w:val="00715B7A"/>
    <w:rsid w:val="007317BC"/>
    <w:rsid w:val="007402F7"/>
    <w:rsid w:val="0074218A"/>
    <w:rsid w:val="00742800"/>
    <w:rsid w:val="007460DF"/>
    <w:rsid w:val="00746BCE"/>
    <w:rsid w:val="007473D2"/>
    <w:rsid w:val="00747CB6"/>
    <w:rsid w:val="00747DB3"/>
    <w:rsid w:val="007559F9"/>
    <w:rsid w:val="007601BF"/>
    <w:rsid w:val="007601E8"/>
    <w:rsid w:val="00760642"/>
    <w:rsid w:val="00764A39"/>
    <w:rsid w:val="00765435"/>
    <w:rsid w:val="007654BE"/>
    <w:rsid w:val="0077021F"/>
    <w:rsid w:val="007702DB"/>
    <w:rsid w:val="00771FAD"/>
    <w:rsid w:val="007759A4"/>
    <w:rsid w:val="0077642B"/>
    <w:rsid w:val="00777AE3"/>
    <w:rsid w:val="00777C2A"/>
    <w:rsid w:val="00782BB4"/>
    <w:rsid w:val="007865EC"/>
    <w:rsid w:val="00793868"/>
    <w:rsid w:val="007974DC"/>
    <w:rsid w:val="007A2D76"/>
    <w:rsid w:val="007A2D9F"/>
    <w:rsid w:val="007B02CB"/>
    <w:rsid w:val="007B3C3C"/>
    <w:rsid w:val="007B4D21"/>
    <w:rsid w:val="007B5E33"/>
    <w:rsid w:val="007C03AE"/>
    <w:rsid w:val="007C3164"/>
    <w:rsid w:val="007C5C12"/>
    <w:rsid w:val="007C5DDE"/>
    <w:rsid w:val="007C6B1D"/>
    <w:rsid w:val="007C6F0D"/>
    <w:rsid w:val="007C714C"/>
    <w:rsid w:val="007C7A32"/>
    <w:rsid w:val="007D26BE"/>
    <w:rsid w:val="007D698D"/>
    <w:rsid w:val="007D6DD5"/>
    <w:rsid w:val="007E4350"/>
    <w:rsid w:val="007F024F"/>
    <w:rsid w:val="007F0ABC"/>
    <w:rsid w:val="007F1433"/>
    <w:rsid w:val="007F2193"/>
    <w:rsid w:val="007F49FF"/>
    <w:rsid w:val="00800862"/>
    <w:rsid w:val="008009E8"/>
    <w:rsid w:val="00801086"/>
    <w:rsid w:val="0080320D"/>
    <w:rsid w:val="008055B4"/>
    <w:rsid w:val="008058BC"/>
    <w:rsid w:val="00806CB8"/>
    <w:rsid w:val="0081055D"/>
    <w:rsid w:val="00816190"/>
    <w:rsid w:val="00823139"/>
    <w:rsid w:val="0082429E"/>
    <w:rsid w:val="00826713"/>
    <w:rsid w:val="00826D6E"/>
    <w:rsid w:val="00831B34"/>
    <w:rsid w:val="00832DF8"/>
    <w:rsid w:val="0083390B"/>
    <w:rsid w:val="008340ED"/>
    <w:rsid w:val="008354FB"/>
    <w:rsid w:val="0083783A"/>
    <w:rsid w:val="00837F1A"/>
    <w:rsid w:val="00842C83"/>
    <w:rsid w:val="0084316E"/>
    <w:rsid w:val="008467D0"/>
    <w:rsid w:val="008530E1"/>
    <w:rsid w:val="008532F1"/>
    <w:rsid w:val="008560D9"/>
    <w:rsid w:val="00861BA6"/>
    <w:rsid w:val="00864A17"/>
    <w:rsid w:val="0086545A"/>
    <w:rsid w:val="00870DF2"/>
    <w:rsid w:val="0087527E"/>
    <w:rsid w:val="0088093E"/>
    <w:rsid w:val="00880B78"/>
    <w:rsid w:val="00882A1C"/>
    <w:rsid w:val="00883C4E"/>
    <w:rsid w:val="00891565"/>
    <w:rsid w:val="00891FAD"/>
    <w:rsid w:val="008A2898"/>
    <w:rsid w:val="008A4032"/>
    <w:rsid w:val="008A412D"/>
    <w:rsid w:val="008A571D"/>
    <w:rsid w:val="008A5831"/>
    <w:rsid w:val="008A612A"/>
    <w:rsid w:val="008A783E"/>
    <w:rsid w:val="008B0B84"/>
    <w:rsid w:val="008B1397"/>
    <w:rsid w:val="008B38A1"/>
    <w:rsid w:val="008C02F3"/>
    <w:rsid w:val="008C06B4"/>
    <w:rsid w:val="008C3693"/>
    <w:rsid w:val="008C3E12"/>
    <w:rsid w:val="008C6E2C"/>
    <w:rsid w:val="008C7830"/>
    <w:rsid w:val="008D0160"/>
    <w:rsid w:val="008D0531"/>
    <w:rsid w:val="008D1475"/>
    <w:rsid w:val="008D175A"/>
    <w:rsid w:val="008D5C6F"/>
    <w:rsid w:val="008E06F1"/>
    <w:rsid w:val="008E1F89"/>
    <w:rsid w:val="008E2ECA"/>
    <w:rsid w:val="008E346A"/>
    <w:rsid w:val="008E6D83"/>
    <w:rsid w:val="008F30A9"/>
    <w:rsid w:val="008F543B"/>
    <w:rsid w:val="008F7CAE"/>
    <w:rsid w:val="009006C0"/>
    <w:rsid w:val="00900B5A"/>
    <w:rsid w:val="00904084"/>
    <w:rsid w:val="00904271"/>
    <w:rsid w:val="00904FA9"/>
    <w:rsid w:val="00905024"/>
    <w:rsid w:val="00905D36"/>
    <w:rsid w:val="009065E8"/>
    <w:rsid w:val="00906BBA"/>
    <w:rsid w:val="00910A8C"/>
    <w:rsid w:val="009126BC"/>
    <w:rsid w:val="00913C8E"/>
    <w:rsid w:val="00913F6A"/>
    <w:rsid w:val="0091467C"/>
    <w:rsid w:val="00916C8D"/>
    <w:rsid w:val="00917597"/>
    <w:rsid w:val="009207B4"/>
    <w:rsid w:val="00922E35"/>
    <w:rsid w:val="009230B0"/>
    <w:rsid w:val="00923644"/>
    <w:rsid w:val="00923AAB"/>
    <w:rsid w:val="00924DA4"/>
    <w:rsid w:val="0092640D"/>
    <w:rsid w:val="009302D4"/>
    <w:rsid w:val="00930A21"/>
    <w:rsid w:val="00934A7B"/>
    <w:rsid w:val="00935512"/>
    <w:rsid w:val="00937D6F"/>
    <w:rsid w:val="00940FAC"/>
    <w:rsid w:val="0094210F"/>
    <w:rsid w:val="00944E20"/>
    <w:rsid w:val="00945766"/>
    <w:rsid w:val="009475B6"/>
    <w:rsid w:val="00950298"/>
    <w:rsid w:val="0095086D"/>
    <w:rsid w:val="00951399"/>
    <w:rsid w:val="00952B12"/>
    <w:rsid w:val="009536A5"/>
    <w:rsid w:val="00953F8F"/>
    <w:rsid w:val="00956001"/>
    <w:rsid w:val="009564BA"/>
    <w:rsid w:val="00956B07"/>
    <w:rsid w:val="00957B45"/>
    <w:rsid w:val="00960492"/>
    <w:rsid w:val="00964B91"/>
    <w:rsid w:val="00964CA9"/>
    <w:rsid w:val="00967248"/>
    <w:rsid w:val="0096740A"/>
    <w:rsid w:val="00967733"/>
    <w:rsid w:val="00972702"/>
    <w:rsid w:val="00972EC0"/>
    <w:rsid w:val="00973E01"/>
    <w:rsid w:val="009749DC"/>
    <w:rsid w:val="00974FD5"/>
    <w:rsid w:val="009752BF"/>
    <w:rsid w:val="009770BF"/>
    <w:rsid w:val="00977151"/>
    <w:rsid w:val="0098023C"/>
    <w:rsid w:val="00982F3D"/>
    <w:rsid w:val="00985711"/>
    <w:rsid w:val="00985E94"/>
    <w:rsid w:val="00985ECB"/>
    <w:rsid w:val="009935FD"/>
    <w:rsid w:val="0099519A"/>
    <w:rsid w:val="00996943"/>
    <w:rsid w:val="009A2920"/>
    <w:rsid w:val="009A56E1"/>
    <w:rsid w:val="009A7413"/>
    <w:rsid w:val="009B084B"/>
    <w:rsid w:val="009B1BE8"/>
    <w:rsid w:val="009B5581"/>
    <w:rsid w:val="009B5D4C"/>
    <w:rsid w:val="009B7E02"/>
    <w:rsid w:val="009C22B9"/>
    <w:rsid w:val="009C3C92"/>
    <w:rsid w:val="009C3CA1"/>
    <w:rsid w:val="009D09ED"/>
    <w:rsid w:val="009D1D65"/>
    <w:rsid w:val="009D6D53"/>
    <w:rsid w:val="009E1339"/>
    <w:rsid w:val="009E1A15"/>
    <w:rsid w:val="009E1CE2"/>
    <w:rsid w:val="009E5D32"/>
    <w:rsid w:val="009F0FE8"/>
    <w:rsid w:val="009F2650"/>
    <w:rsid w:val="009F558E"/>
    <w:rsid w:val="00A0108F"/>
    <w:rsid w:val="00A03328"/>
    <w:rsid w:val="00A05F69"/>
    <w:rsid w:val="00A06991"/>
    <w:rsid w:val="00A06BB0"/>
    <w:rsid w:val="00A10989"/>
    <w:rsid w:val="00A117BA"/>
    <w:rsid w:val="00A1236B"/>
    <w:rsid w:val="00A143A1"/>
    <w:rsid w:val="00A15E7D"/>
    <w:rsid w:val="00A1798F"/>
    <w:rsid w:val="00A20DBC"/>
    <w:rsid w:val="00A21DD7"/>
    <w:rsid w:val="00A24D6F"/>
    <w:rsid w:val="00A26B01"/>
    <w:rsid w:val="00A2772C"/>
    <w:rsid w:val="00A33136"/>
    <w:rsid w:val="00A342A9"/>
    <w:rsid w:val="00A36148"/>
    <w:rsid w:val="00A37235"/>
    <w:rsid w:val="00A40135"/>
    <w:rsid w:val="00A42683"/>
    <w:rsid w:val="00A43B32"/>
    <w:rsid w:val="00A448F3"/>
    <w:rsid w:val="00A46339"/>
    <w:rsid w:val="00A473CC"/>
    <w:rsid w:val="00A474C3"/>
    <w:rsid w:val="00A474C9"/>
    <w:rsid w:val="00A47560"/>
    <w:rsid w:val="00A4769C"/>
    <w:rsid w:val="00A47DC8"/>
    <w:rsid w:val="00A50882"/>
    <w:rsid w:val="00A5239D"/>
    <w:rsid w:val="00A53882"/>
    <w:rsid w:val="00A56F91"/>
    <w:rsid w:val="00A571E4"/>
    <w:rsid w:val="00A62758"/>
    <w:rsid w:val="00A64B96"/>
    <w:rsid w:val="00A64BC1"/>
    <w:rsid w:val="00A64E0F"/>
    <w:rsid w:val="00A66D47"/>
    <w:rsid w:val="00A66F6C"/>
    <w:rsid w:val="00A713DC"/>
    <w:rsid w:val="00A72638"/>
    <w:rsid w:val="00A72F86"/>
    <w:rsid w:val="00A73295"/>
    <w:rsid w:val="00A753D8"/>
    <w:rsid w:val="00A76598"/>
    <w:rsid w:val="00A77203"/>
    <w:rsid w:val="00A77EE8"/>
    <w:rsid w:val="00A805A2"/>
    <w:rsid w:val="00A8427E"/>
    <w:rsid w:val="00A8547B"/>
    <w:rsid w:val="00A8557D"/>
    <w:rsid w:val="00A870B3"/>
    <w:rsid w:val="00A9046C"/>
    <w:rsid w:val="00A90888"/>
    <w:rsid w:val="00A92A33"/>
    <w:rsid w:val="00A93855"/>
    <w:rsid w:val="00A94BA0"/>
    <w:rsid w:val="00A9686C"/>
    <w:rsid w:val="00A97465"/>
    <w:rsid w:val="00AA113A"/>
    <w:rsid w:val="00AA13ED"/>
    <w:rsid w:val="00AA4396"/>
    <w:rsid w:val="00AA5642"/>
    <w:rsid w:val="00AA57C6"/>
    <w:rsid w:val="00AB4040"/>
    <w:rsid w:val="00AB54D8"/>
    <w:rsid w:val="00AC4B17"/>
    <w:rsid w:val="00AD1878"/>
    <w:rsid w:val="00AD245C"/>
    <w:rsid w:val="00AD7DCD"/>
    <w:rsid w:val="00AE0B08"/>
    <w:rsid w:val="00AE235A"/>
    <w:rsid w:val="00AE2D3B"/>
    <w:rsid w:val="00AE70EA"/>
    <w:rsid w:val="00AF14D6"/>
    <w:rsid w:val="00AF2763"/>
    <w:rsid w:val="00AF31AF"/>
    <w:rsid w:val="00AF3886"/>
    <w:rsid w:val="00AF4D06"/>
    <w:rsid w:val="00AF6B6F"/>
    <w:rsid w:val="00B01FDD"/>
    <w:rsid w:val="00B035EC"/>
    <w:rsid w:val="00B07698"/>
    <w:rsid w:val="00B077C7"/>
    <w:rsid w:val="00B078BB"/>
    <w:rsid w:val="00B07B28"/>
    <w:rsid w:val="00B10FE6"/>
    <w:rsid w:val="00B11632"/>
    <w:rsid w:val="00B121D9"/>
    <w:rsid w:val="00B23F9B"/>
    <w:rsid w:val="00B257FB"/>
    <w:rsid w:val="00B263F5"/>
    <w:rsid w:val="00B3015A"/>
    <w:rsid w:val="00B34308"/>
    <w:rsid w:val="00B35069"/>
    <w:rsid w:val="00B37ABD"/>
    <w:rsid w:val="00B40B83"/>
    <w:rsid w:val="00B41ABF"/>
    <w:rsid w:val="00B441F4"/>
    <w:rsid w:val="00B4463F"/>
    <w:rsid w:val="00B4479A"/>
    <w:rsid w:val="00B44E8F"/>
    <w:rsid w:val="00B4611B"/>
    <w:rsid w:val="00B46365"/>
    <w:rsid w:val="00B466D8"/>
    <w:rsid w:val="00B52DED"/>
    <w:rsid w:val="00B54748"/>
    <w:rsid w:val="00B55553"/>
    <w:rsid w:val="00B56228"/>
    <w:rsid w:val="00B57CDB"/>
    <w:rsid w:val="00B64244"/>
    <w:rsid w:val="00B643B6"/>
    <w:rsid w:val="00B653F3"/>
    <w:rsid w:val="00B65816"/>
    <w:rsid w:val="00B65892"/>
    <w:rsid w:val="00B65B34"/>
    <w:rsid w:val="00B65C9E"/>
    <w:rsid w:val="00B666C8"/>
    <w:rsid w:val="00B67AED"/>
    <w:rsid w:val="00B71147"/>
    <w:rsid w:val="00B72A2A"/>
    <w:rsid w:val="00B72ED4"/>
    <w:rsid w:val="00B72EFB"/>
    <w:rsid w:val="00B80C50"/>
    <w:rsid w:val="00B816AF"/>
    <w:rsid w:val="00B82D3A"/>
    <w:rsid w:val="00B836BD"/>
    <w:rsid w:val="00B858A5"/>
    <w:rsid w:val="00B87A55"/>
    <w:rsid w:val="00B91B13"/>
    <w:rsid w:val="00B926A5"/>
    <w:rsid w:val="00B9296A"/>
    <w:rsid w:val="00B94977"/>
    <w:rsid w:val="00B96A71"/>
    <w:rsid w:val="00BA1E25"/>
    <w:rsid w:val="00BA5685"/>
    <w:rsid w:val="00BB6154"/>
    <w:rsid w:val="00BC043D"/>
    <w:rsid w:val="00BC162B"/>
    <w:rsid w:val="00BC2B81"/>
    <w:rsid w:val="00BD1907"/>
    <w:rsid w:val="00BD2859"/>
    <w:rsid w:val="00BD4EDB"/>
    <w:rsid w:val="00BD598E"/>
    <w:rsid w:val="00BD65AA"/>
    <w:rsid w:val="00BE1D76"/>
    <w:rsid w:val="00BE2341"/>
    <w:rsid w:val="00BE5A4F"/>
    <w:rsid w:val="00BF189E"/>
    <w:rsid w:val="00BF1B9D"/>
    <w:rsid w:val="00BF2D4E"/>
    <w:rsid w:val="00BF5530"/>
    <w:rsid w:val="00BF58B1"/>
    <w:rsid w:val="00C03238"/>
    <w:rsid w:val="00C03AC3"/>
    <w:rsid w:val="00C03C0F"/>
    <w:rsid w:val="00C069F3"/>
    <w:rsid w:val="00C06CAB"/>
    <w:rsid w:val="00C11276"/>
    <w:rsid w:val="00C13674"/>
    <w:rsid w:val="00C136E1"/>
    <w:rsid w:val="00C14137"/>
    <w:rsid w:val="00C14784"/>
    <w:rsid w:val="00C16E1E"/>
    <w:rsid w:val="00C20AEB"/>
    <w:rsid w:val="00C214C3"/>
    <w:rsid w:val="00C22AEE"/>
    <w:rsid w:val="00C237A5"/>
    <w:rsid w:val="00C24316"/>
    <w:rsid w:val="00C26865"/>
    <w:rsid w:val="00C30775"/>
    <w:rsid w:val="00C30D2B"/>
    <w:rsid w:val="00C33BC9"/>
    <w:rsid w:val="00C360FD"/>
    <w:rsid w:val="00C3683E"/>
    <w:rsid w:val="00C36E23"/>
    <w:rsid w:val="00C374A0"/>
    <w:rsid w:val="00C409EE"/>
    <w:rsid w:val="00C40B96"/>
    <w:rsid w:val="00C41664"/>
    <w:rsid w:val="00C4283A"/>
    <w:rsid w:val="00C452E9"/>
    <w:rsid w:val="00C457BF"/>
    <w:rsid w:val="00C4778B"/>
    <w:rsid w:val="00C5070B"/>
    <w:rsid w:val="00C50801"/>
    <w:rsid w:val="00C508BA"/>
    <w:rsid w:val="00C50DA2"/>
    <w:rsid w:val="00C53E9D"/>
    <w:rsid w:val="00C561A8"/>
    <w:rsid w:val="00C61840"/>
    <w:rsid w:val="00C62EFD"/>
    <w:rsid w:val="00C656A4"/>
    <w:rsid w:val="00C7059E"/>
    <w:rsid w:val="00C716E9"/>
    <w:rsid w:val="00C7249D"/>
    <w:rsid w:val="00C7281C"/>
    <w:rsid w:val="00C73BEC"/>
    <w:rsid w:val="00C7468F"/>
    <w:rsid w:val="00C74A5B"/>
    <w:rsid w:val="00C76C00"/>
    <w:rsid w:val="00C77247"/>
    <w:rsid w:val="00C806DE"/>
    <w:rsid w:val="00C811CD"/>
    <w:rsid w:val="00C81370"/>
    <w:rsid w:val="00C86F71"/>
    <w:rsid w:val="00C87811"/>
    <w:rsid w:val="00C9267A"/>
    <w:rsid w:val="00CA2FD4"/>
    <w:rsid w:val="00CA6064"/>
    <w:rsid w:val="00CB093B"/>
    <w:rsid w:val="00CC042D"/>
    <w:rsid w:val="00CD0C47"/>
    <w:rsid w:val="00CD22EE"/>
    <w:rsid w:val="00CD36D5"/>
    <w:rsid w:val="00CD4A7A"/>
    <w:rsid w:val="00CD6010"/>
    <w:rsid w:val="00CD602D"/>
    <w:rsid w:val="00CE0B74"/>
    <w:rsid w:val="00CE20B4"/>
    <w:rsid w:val="00CE39F9"/>
    <w:rsid w:val="00CE4401"/>
    <w:rsid w:val="00CE66D7"/>
    <w:rsid w:val="00CE71C1"/>
    <w:rsid w:val="00CE797B"/>
    <w:rsid w:val="00CF1510"/>
    <w:rsid w:val="00CF3238"/>
    <w:rsid w:val="00CF6931"/>
    <w:rsid w:val="00D0151B"/>
    <w:rsid w:val="00D03862"/>
    <w:rsid w:val="00D046A5"/>
    <w:rsid w:val="00D06BC4"/>
    <w:rsid w:val="00D06F89"/>
    <w:rsid w:val="00D113CF"/>
    <w:rsid w:val="00D1221B"/>
    <w:rsid w:val="00D15A66"/>
    <w:rsid w:val="00D1617C"/>
    <w:rsid w:val="00D17776"/>
    <w:rsid w:val="00D2010A"/>
    <w:rsid w:val="00D20EA5"/>
    <w:rsid w:val="00D2182E"/>
    <w:rsid w:val="00D2541A"/>
    <w:rsid w:val="00D274D3"/>
    <w:rsid w:val="00D27ABC"/>
    <w:rsid w:val="00D332F2"/>
    <w:rsid w:val="00D36754"/>
    <w:rsid w:val="00D37850"/>
    <w:rsid w:val="00D421CD"/>
    <w:rsid w:val="00D42905"/>
    <w:rsid w:val="00D43DF7"/>
    <w:rsid w:val="00D4430E"/>
    <w:rsid w:val="00D44D61"/>
    <w:rsid w:val="00D45846"/>
    <w:rsid w:val="00D47E91"/>
    <w:rsid w:val="00D5065A"/>
    <w:rsid w:val="00D50C13"/>
    <w:rsid w:val="00D51956"/>
    <w:rsid w:val="00D52C4E"/>
    <w:rsid w:val="00D54E7F"/>
    <w:rsid w:val="00D55757"/>
    <w:rsid w:val="00D71F85"/>
    <w:rsid w:val="00D75121"/>
    <w:rsid w:val="00D76344"/>
    <w:rsid w:val="00D77484"/>
    <w:rsid w:val="00D80245"/>
    <w:rsid w:val="00D839D6"/>
    <w:rsid w:val="00D84D08"/>
    <w:rsid w:val="00D87E70"/>
    <w:rsid w:val="00D90CE4"/>
    <w:rsid w:val="00D91796"/>
    <w:rsid w:val="00D923CF"/>
    <w:rsid w:val="00D934C8"/>
    <w:rsid w:val="00D93FA9"/>
    <w:rsid w:val="00D94348"/>
    <w:rsid w:val="00D944B0"/>
    <w:rsid w:val="00D9500B"/>
    <w:rsid w:val="00DA3209"/>
    <w:rsid w:val="00DA33AE"/>
    <w:rsid w:val="00DA42AC"/>
    <w:rsid w:val="00DA4781"/>
    <w:rsid w:val="00DA5614"/>
    <w:rsid w:val="00DA5879"/>
    <w:rsid w:val="00DA6F12"/>
    <w:rsid w:val="00DB156F"/>
    <w:rsid w:val="00DB178A"/>
    <w:rsid w:val="00DB2336"/>
    <w:rsid w:val="00DB24F5"/>
    <w:rsid w:val="00DB2822"/>
    <w:rsid w:val="00DB45A7"/>
    <w:rsid w:val="00DB6679"/>
    <w:rsid w:val="00DC0BF9"/>
    <w:rsid w:val="00DC1C58"/>
    <w:rsid w:val="00DC33E4"/>
    <w:rsid w:val="00DC783E"/>
    <w:rsid w:val="00DD0D90"/>
    <w:rsid w:val="00DD3FAD"/>
    <w:rsid w:val="00DD4CD4"/>
    <w:rsid w:val="00DD4DD4"/>
    <w:rsid w:val="00DD70FC"/>
    <w:rsid w:val="00DE05A7"/>
    <w:rsid w:val="00DE25F3"/>
    <w:rsid w:val="00DE37B2"/>
    <w:rsid w:val="00DE3EF5"/>
    <w:rsid w:val="00DE53F5"/>
    <w:rsid w:val="00DE68AB"/>
    <w:rsid w:val="00DF2ACB"/>
    <w:rsid w:val="00DF4A55"/>
    <w:rsid w:val="00DF5AD7"/>
    <w:rsid w:val="00E024EE"/>
    <w:rsid w:val="00E02B18"/>
    <w:rsid w:val="00E05505"/>
    <w:rsid w:val="00E110AA"/>
    <w:rsid w:val="00E1223B"/>
    <w:rsid w:val="00E13079"/>
    <w:rsid w:val="00E15684"/>
    <w:rsid w:val="00E16A18"/>
    <w:rsid w:val="00E20742"/>
    <w:rsid w:val="00E21637"/>
    <w:rsid w:val="00E2575D"/>
    <w:rsid w:val="00E3178A"/>
    <w:rsid w:val="00E3368A"/>
    <w:rsid w:val="00E33C1D"/>
    <w:rsid w:val="00E36835"/>
    <w:rsid w:val="00E43995"/>
    <w:rsid w:val="00E5208E"/>
    <w:rsid w:val="00E53E33"/>
    <w:rsid w:val="00E542EE"/>
    <w:rsid w:val="00E57B82"/>
    <w:rsid w:val="00E6758C"/>
    <w:rsid w:val="00E67620"/>
    <w:rsid w:val="00E67826"/>
    <w:rsid w:val="00E67C1D"/>
    <w:rsid w:val="00E67E16"/>
    <w:rsid w:val="00E700E5"/>
    <w:rsid w:val="00E70BF3"/>
    <w:rsid w:val="00E71070"/>
    <w:rsid w:val="00E723CF"/>
    <w:rsid w:val="00E76992"/>
    <w:rsid w:val="00E8007B"/>
    <w:rsid w:val="00E83471"/>
    <w:rsid w:val="00E84305"/>
    <w:rsid w:val="00E848AB"/>
    <w:rsid w:val="00E85933"/>
    <w:rsid w:val="00E859F2"/>
    <w:rsid w:val="00E902DF"/>
    <w:rsid w:val="00E91D9D"/>
    <w:rsid w:val="00E923D7"/>
    <w:rsid w:val="00E92C22"/>
    <w:rsid w:val="00E9401A"/>
    <w:rsid w:val="00E94438"/>
    <w:rsid w:val="00E94E5F"/>
    <w:rsid w:val="00EA13FB"/>
    <w:rsid w:val="00EA1EF1"/>
    <w:rsid w:val="00EA299D"/>
    <w:rsid w:val="00EA29CA"/>
    <w:rsid w:val="00EA34A9"/>
    <w:rsid w:val="00EA7B73"/>
    <w:rsid w:val="00EA7F34"/>
    <w:rsid w:val="00EB1E38"/>
    <w:rsid w:val="00EB280C"/>
    <w:rsid w:val="00EB2EBA"/>
    <w:rsid w:val="00EB3F98"/>
    <w:rsid w:val="00EB3FD0"/>
    <w:rsid w:val="00EB59C2"/>
    <w:rsid w:val="00EC3766"/>
    <w:rsid w:val="00EC50DF"/>
    <w:rsid w:val="00EC75D9"/>
    <w:rsid w:val="00ED1411"/>
    <w:rsid w:val="00ED38A0"/>
    <w:rsid w:val="00ED47D1"/>
    <w:rsid w:val="00ED7C35"/>
    <w:rsid w:val="00ED7EB6"/>
    <w:rsid w:val="00EE0AA1"/>
    <w:rsid w:val="00EE0BF2"/>
    <w:rsid w:val="00EE1E13"/>
    <w:rsid w:val="00EE53AC"/>
    <w:rsid w:val="00EE6DDF"/>
    <w:rsid w:val="00EF029C"/>
    <w:rsid w:val="00EF0608"/>
    <w:rsid w:val="00EF2989"/>
    <w:rsid w:val="00EF615D"/>
    <w:rsid w:val="00EF63FE"/>
    <w:rsid w:val="00F02241"/>
    <w:rsid w:val="00F0421A"/>
    <w:rsid w:val="00F133B3"/>
    <w:rsid w:val="00F13B98"/>
    <w:rsid w:val="00F1445D"/>
    <w:rsid w:val="00F16998"/>
    <w:rsid w:val="00F16C92"/>
    <w:rsid w:val="00F20F9D"/>
    <w:rsid w:val="00F24444"/>
    <w:rsid w:val="00F32E21"/>
    <w:rsid w:val="00F35A10"/>
    <w:rsid w:val="00F36200"/>
    <w:rsid w:val="00F376FE"/>
    <w:rsid w:val="00F37E2F"/>
    <w:rsid w:val="00F415EB"/>
    <w:rsid w:val="00F41FE6"/>
    <w:rsid w:val="00F44990"/>
    <w:rsid w:val="00F475FE"/>
    <w:rsid w:val="00F506E5"/>
    <w:rsid w:val="00F52830"/>
    <w:rsid w:val="00F52B84"/>
    <w:rsid w:val="00F5499E"/>
    <w:rsid w:val="00F55665"/>
    <w:rsid w:val="00F55806"/>
    <w:rsid w:val="00F56122"/>
    <w:rsid w:val="00F56A47"/>
    <w:rsid w:val="00F56D24"/>
    <w:rsid w:val="00F6418D"/>
    <w:rsid w:val="00F6572B"/>
    <w:rsid w:val="00F6573C"/>
    <w:rsid w:val="00F679A4"/>
    <w:rsid w:val="00F70528"/>
    <w:rsid w:val="00F7064C"/>
    <w:rsid w:val="00F713D3"/>
    <w:rsid w:val="00F72EBF"/>
    <w:rsid w:val="00F74100"/>
    <w:rsid w:val="00F74DB5"/>
    <w:rsid w:val="00F75314"/>
    <w:rsid w:val="00F8008D"/>
    <w:rsid w:val="00F80536"/>
    <w:rsid w:val="00F80778"/>
    <w:rsid w:val="00F83890"/>
    <w:rsid w:val="00F86318"/>
    <w:rsid w:val="00F87B32"/>
    <w:rsid w:val="00F87C97"/>
    <w:rsid w:val="00F908B9"/>
    <w:rsid w:val="00F9221D"/>
    <w:rsid w:val="00F94CDA"/>
    <w:rsid w:val="00F95C02"/>
    <w:rsid w:val="00F96501"/>
    <w:rsid w:val="00F96E51"/>
    <w:rsid w:val="00FA0096"/>
    <w:rsid w:val="00FA0C71"/>
    <w:rsid w:val="00FA5A6E"/>
    <w:rsid w:val="00FA77B9"/>
    <w:rsid w:val="00FA7AD6"/>
    <w:rsid w:val="00FB07A4"/>
    <w:rsid w:val="00FB43BD"/>
    <w:rsid w:val="00FB4F82"/>
    <w:rsid w:val="00FB6721"/>
    <w:rsid w:val="00FB6D45"/>
    <w:rsid w:val="00FC1B46"/>
    <w:rsid w:val="00FC3283"/>
    <w:rsid w:val="00FC4C0D"/>
    <w:rsid w:val="00FD0D81"/>
    <w:rsid w:val="00FD2602"/>
    <w:rsid w:val="00FD3842"/>
    <w:rsid w:val="00FD5CBD"/>
    <w:rsid w:val="00FD6956"/>
    <w:rsid w:val="00FD7A7E"/>
    <w:rsid w:val="00FE0F0A"/>
    <w:rsid w:val="00FE193D"/>
    <w:rsid w:val="00FE2169"/>
    <w:rsid w:val="00FE4847"/>
    <w:rsid w:val="00FE6C3F"/>
    <w:rsid w:val="00FE7790"/>
    <w:rsid w:val="00FE7994"/>
    <w:rsid w:val="00FF27F4"/>
    <w:rsid w:val="00FF293E"/>
    <w:rsid w:val="00FF38FE"/>
    <w:rsid w:val="00FF4F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DF3D"/>
  <w15:chartTrackingRefBased/>
  <w15:docId w15:val="{4C9DC6C6-E0E2-EA44-8BD5-B8C61C5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0A"/>
    <w:rPr>
      <w:rFonts w:ascii="Times New Roman" w:eastAsia="Times New Roman" w:hAnsi="Times New Roman" w:cs="Times New Roman"/>
    </w:rPr>
  </w:style>
  <w:style w:type="paragraph" w:styleId="Heading1">
    <w:name w:val="heading 1"/>
    <w:basedOn w:val="Normal"/>
    <w:next w:val="Normal"/>
    <w:link w:val="Heading1Char"/>
    <w:uiPriority w:val="9"/>
    <w:qFormat/>
    <w:rsid w:val="00DE68AB"/>
    <w:pPr>
      <w:keepNext/>
      <w:keepLines/>
      <w:spacing w:before="240"/>
      <w:outlineLvl w:val="0"/>
    </w:pPr>
    <w:rPr>
      <w:rFonts w:eastAsiaTheme="majorEastAsia" w:cstheme="majorBidi"/>
      <w:b/>
      <w:color w:val="000000" w:themeColor="text1"/>
      <w:sz w:val="22"/>
      <w:szCs w:val="32"/>
    </w:rPr>
  </w:style>
  <w:style w:type="paragraph" w:styleId="Heading2">
    <w:name w:val="heading 2"/>
    <w:basedOn w:val="Normal"/>
    <w:link w:val="Heading2Char"/>
    <w:uiPriority w:val="9"/>
    <w:qFormat/>
    <w:rsid w:val="00B07B2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F528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75"/>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152375"/>
    <w:rPr>
      <w:rFonts w:ascii="Times New Roman" w:hAnsi="Times New Roman" w:cs="Times New Roman"/>
      <w:sz w:val="18"/>
      <w:szCs w:val="18"/>
    </w:rPr>
  </w:style>
  <w:style w:type="character" w:styleId="Hyperlink">
    <w:name w:val="Hyperlink"/>
    <w:basedOn w:val="DefaultParagraphFont"/>
    <w:uiPriority w:val="99"/>
    <w:unhideWhenUsed/>
    <w:rsid w:val="0061717C"/>
    <w:rPr>
      <w:color w:val="0000FF"/>
      <w:u w:val="single"/>
    </w:rPr>
  </w:style>
  <w:style w:type="character" w:customStyle="1" w:styleId="Heading2Char">
    <w:name w:val="Heading 2 Char"/>
    <w:basedOn w:val="DefaultParagraphFont"/>
    <w:link w:val="Heading2"/>
    <w:uiPriority w:val="9"/>
    <w:rsid w:val="00B07B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36BD"/>
    <w:pPr>
      <w:spacing w:before="100" w:beforeAutospacing="1" w:after="100" w:afterAutospacing="1"/>
    </w:pPr>
  </w:style>
  <w:style w:type="paragraph" w:styleId="ListParagraph">
    <w:name w:val="List Paragraph"/>
    <w:basedOn w:val="Normal"/>
    <w:uiPriority w:val="34"/>
    <w:qFormat/>
    <w:rsid w:val="00746BCE"/>
    <w:pPr>
      <w:ind w:left="720"/>
      <w:contextualSpacing/>
    </w:pPr>
  </w:style>
  <w:style w:type="character" w:styleId="Strong">
    <w:name w:val="Strong"/>
    <w:basedOn w:val="DefaultParagraphFont"/>
    <w:uiPriority w:val="22"/>
    <w:qFormat/>
    <w:rsid w:val="00B643B6"/>
    <w:rPr>
      <w:b/>
      <w:bCs/>
    </w:rPr>
  </w:style>
  <w:style w:type="paragraph" w:styleId="FootnoteText">
    <w:name w:val="footnote text"/>
    <w:basedOn w:val="Normal"/>
    <w:link w:val="FootnoteTextChar"/>
    <w:unhideWhenUsed/>
    <w:rsid w:val="00FE4847"/>
    <w:rPr>
      <w:sz w:val="20"/>
      <w:szCs w:val="20"/>
    </w:rPr>
  </w:style>
  <w:style w:type="character" w:customStyle="1" w:styleId="FootnoteTextChar">
    <w:name w:val="Footnote Text Char"/>
    <w:basedOn w:val="DefaultParagraphFont"/>
    <w:link w:val="FootnoteText"/>
    <w:rsid w:val="00FE48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4847"/>
    <w:rPr>
      <w:vertAlign w:val="superscript"/>
    </w:rPr>
  </w:style>
  <w:style w:type="character" w:customStyle="1" w:styleId="Heading1Char">
    <w:name w:val="Heading 1 Char"/>
    <w:basedOn w:val="DefaultParagraphFont"/>
    <w:link w:val="Heading1"/>
    <w:uiPriority w:val="9"/>
    <w:rsid w:val="00DE68AB"/>
    <w:rPr>
      <w:rFonts w:ascii="Times New Roman" w:eastAsiaTheme="majorEastAsia" w:hAnsi="Times New Roman" w:cstheme="majorBidi"/>
      <w:b/>
      <w:color w:val="000000" w:themeColor="text1"/>
      <w:sz w:val="22"/>
      <w:szCs w:val="32"/>
    </w:rPr>
  </w:style>
  <w:style w:type="character" w:styleId="FollowedHyperlink">
    <w:name w:val="FollowedHyperlink"/>
    <w:basedOn w:val="DefaultParagraphFont"/>
    <w:uiPriority w:val="99"/>
    <w:semiHidden/>
    <w:unhideWhenUsed/>
    <w:rsid w:val="00501F3C"/>
    <w:rPr>
      <w:color w:val="954F72" w:themeColor="followedHyperlink"/>
      <w:u w:val="single"/>
    </w:rPr>
  </w:style>
  <w:style w:type="character" w:styleId="Emphasis">
    <w:name w:val="Emphasis"/>
    <w:basedOn w:val="DefaultParagraphFont"/>
    <w:uiPriority w:val="20"/>
    <w:qFormat/>
    <w:rsid w:val="0047176D"/>
    <w:rPr>
      <w:i/>
      <w:iCs/>
    </w:rPr>
  </w:style>
  <w:style w:type="paragraph" w:styleId="EndnoteText">
    <w:name w:val="endnote text"/>
    <w:basedOn w:val="Normal"/>
    <w:link w:val="EndnoteTextChar"/>
    <w:uiPriority w:val="99"/>
    <w:unhideWhenUsed/>
    <w:rsid w:val="00FB07A4"/>
    <w:rPr>
      <w:sz w:val="20"/>
      <w:szCs w:val="20"/>
    </w:rPr>
  </w:style>
  <w:style w:type="character" w:customStyle="1" w:styleId="EndnoteTextChar">
    <w:name w:val="Endnote Text Char"/>
    <w:basedOn w:val="DefaultParagraphFont"/>
    <w:link w:val="EndnoteText"/>
    <w:uiPriority w:val="99"/>
    <w:rsid w:val="00FB07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07A4"/>
    <w:rPr>
      <w:vertAlign w:val="superscript"/>
    </w:rPr>
  </w:style>
  <w:style w:type="paragraph" w:customStyle="1" w:styleId="chapternumber">
    <w:name w:val="chapternumber"/>
    <w:basedOn w:val="Normal"/>
    <w:rsid w:val="00063E71"/>
    <w:pPr>
      <w:spacing w:before="100" w:beforeAutospacing="1" w:after="100" w:afterAutospacing="1"/>
    </w:pPr>
  </w:style>
  <w:style w:type="character" w:styleId="UnresolvedMention">
    <w:name w:val="Unresolved Mention"/>
    <w:basedOn w:val="DefaultParagraphFont"/>
    <w:uiPriority w:val="99"/>
    <w:semiHidden/>
    <w:unhideWhenUsed/>
    <w:rsid w:val="00161D73"/>
    <w:rPr>
      <w:color w:val="605E5C"/>
      <w:shd w:val="clear" w:color="auto" w:fill="E1DFDD"/>
    </w:rPr>
  </w:style>
  <w:style w:type="character" w:customStyle="1" w:styleId="Heading3Char">
    <w:name w:val="Heading 3 Char"/>
    <w:basedOn w:val="DefaultParagraphFont"/>
    <w:link w:val="Heading3"/>
    <w:uiPriority w:val="9"/>
    <w:semiHidden/>
    <w:rsid w:val="00F5283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3441B5"/>
    <w:pPr>
      <w:tabs>
        <w:tab w:val="center" w:pos="4680"/>
        <w:tab w:val="right" w:pos="9360"/>
      </w:tabs>
    </w:pPr>
  </w:style>
  <w:style w:type="character" w:customStyle="1" w:styleId="HeaderChar">
    <w:name w:val="Header Char"/>
    <w:basedOn w:val="DefaultParagraphFont"/>
    <w:link w:val="Header"/>
    <w:uiPriority w:val="99"/>
    <w:rsid w:val="003441B5"/>
    <w:rPr>
      <w:rFonts w:ascii="Times New Roman" w:eastAsia="Times New Roman" w:hAnsi="Times New Roman" w:cs="Times New Roman"/>
    </w:rPr>
  </w:style>
  <w:style w:type="paragraph" w:styleId="Footer">
    <w:name w:val="footer"/>
    <w:basedOn w:val="Normal"/>
    <w:link w:val="FooterChar"/>
    <w:uiPriority w:val="99"/>
    <w:unhideWhenUsed/>
    <w:rsid w:val="003441B5"/>
    <w:pPr>
      <w:tabs>
        <w:tab w:val="center" w:pos="4680"/>
        <w:tab w:val="right" w:pos="9360"/>
      </w:tabs>
    </w:pPr>
  </w:style>
  <w:style w:type="character" w:customStyle="1" w:styleId="FooterChar">
    <w:name w:val="Footer Char"/>
    <w:basedOn w:val="DefaultParagraphFont"/>
    <w:link w:val="Footer"/>
    <w:uiPriority w:val="99"/>
    <w:rsid w:val="003441B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00065"/>
    <w:rPr>
      <w:sz w:val="18"/>
      <w:szCs w:val="18"/>
    </w:rPr>
  </w:style>
  <w:style w:type="character" w:styleId="PageNumber">
    <w:name w:val="page number"/>
    <w:basedOn w:val="DefaultParagraphFont"/>
    <w:uiPriority w:val="99"/>
    <w:semiHidden/>
    <w:unhideWhenUsed/>
    <w:rsid w:val="00985E94"/>
  </w:style>
  <w:style w:type="paragraph" w:styleId="CommentText">
    <w:name w:val="annotation text"/>
    <w:basedOn w:val="Normal"/>
    <w:link w:val="CommentTextChar"/>
    <w:uiPriority w:val="99"/>
    <w:semiHidden/>
    <w:unhideWhenUsed/>
    <w:rsid w:val="00985E94"/>
    <w:rPr>
      <w:sz w:val="20"/>
      <w:szCs w:val="20"/>
    </w:rPr>
  </w:style>
  <w:style w:type="character" w:customStyle="1" w:styleId="CommentTextChar">
    <w:name w:val="Comment Text Char"/>
    <w:basedOn w:val="DefaultParagraphFont"/>
    <w:link w:val="CommentText"/>
    <w:uiPriority w:val="99"/>
    <w:semiHidden/>
    <w:rsid w:val="00985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E94"/>
    <w:rPr>
      <w:b/>
      <w:bCs/>
    </w:rPr>
  </w:style>
  <w:style w:type="character" w:customStyle="1" w:styleId="CommentSubjectChar">
    <w:name w:val="Comment Subject Char"/>
    <w:basedOn w:val="CommentTextChar"/>
    <w:link w:val="CommentSubject"/>
    <w:uiPriority w:val="99"/>
    <w:semiHidden/>
    <w:rsid w:val="00985E94"/>
    <w:rPr>
      <w:rFonts w:ascii="Times New Roman" w:eastAsia="Times New Roman" w:hAnsi="Times New Roman" w:cs="Times New Roman"/>
      <w:b/>
      <w:bCs/>
      <w:sz w:val="20"/>
      <w:szCs w:val="20"/>
    </w:rPr>
  </w:style>
  <w:style w:type="character" w:customStyle="1" w:styleId="ref-lnk">
    <w:name w:val="ref-lnk"/>
    <w:basedOn w:val="DefaultParagraphFont"/>
    <w:rsid w:val="00D2010A"/>
  </w:style>
  <w:style w:type="character" w:customStyle="1" w:styleId="ref-overlay">
    <w:name w:val="ref-overlay"/>
    <w:basedOn w:val="DefaultParagraphFont"/>
    <w:rsid w:val="00D2010A"/>
  </w:style>
  <w:style w:type="character" w:customStyle="1" w:styleId="nlmyear">
    <w:name w:val="nlm_year"/>
    <w:basedOn w:val="DefaultParagraphFont"/>
    <w:rsid w:val="00D2010A"/>
  </w:style>
  <w:style w:type="character" w:customStyle="1" w:styleId="ref-links">
    <w:name w:val="ref-links"/>
    <w:basedOn w:val="DefaultParagraphFont"/>
    <w:rsid w:val="00D2010A"/>
  </w:style>
  <w:style w:type="character" w:customStyle="1" w:styleId="googlescholar-container">
    <w:name w:val="googlescholar-container"/>
    <w:basedOn w:val="DefaultParagraphFont"/>
    <w:rsid w:val="00D2010A"/>
  </w:style>
  <w:style w:type="character" w:customStyle="1" w:styleId="authors">
    <w:name w:val="authors"/>
    <w:basedOn w:val="DefaultParagraphFont"/>
    <w:rsid w:val="00D2010A"/>
  </w:style>
  <w:style w:type="character" w:customStyle="1" w:styleId="Date1">
    <w:name w:val="Date1"/>
    <w:basedOn w:val="DefaultParagraphFont"/>
    <w:rsid w:val="00D2010A"/>
  </w:style>
  <w:style w:type="character" w:customStyle="1" w:styleId="arttitle">
    <w:name w:val="art_title"/>
    <w:basedOn w:val="DefaultParagraphFont"/>
    <w:rsid w:val="00D2010A"/>
  </w:style>
  <w:style w:type="character" w:customStyle="1" w:styleId="serialtitle">
    <w:name w:val="serial_title"/>
    <w:basedOn w:val="DefaultParagraphFont"/>
    <w:rsid w:val="00D2010A"/>
  </w:style>
  <w:style w:type="character" w:customStyle="1" w:styleId="volumeissue">
    <w:name w:val="volume_issue"/>
    <w:basedOn w:val="DefaultParagraphFont"/>
    <w:rsid w:val="00D2010A"/>
  </w:style>
  <w:style w:type="character" w:customStyle="1" w:styleId="pagerange">
    <w:name w:val="page_range"/>
    <w:basedOn w:val="DefaultParagraphFont"/>
    <w:rsid w:val="00D2010A"/>
  </w:style>
  <w:style w:type="character" w:customStyle="1" w:styleId="doilink">
    <w:name w:val="doi_link"/>
    <w:basedOn w:val="DefaultParagraphFont"/>
    <w:rsid w:val="00D2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214">
      <w:bodyDiv w:val="1"/>
      <w:marLeft w:val="0"/>
      <w:marRight w:val="0"/>
      <w:marTop w:val="0"/>
      <w:marBottom w:val="0"/>
      <w:divBdr>
        <w:top w:val="none" w:sz="0" w:space="0" w:color="auto"/>
        <w:left w:val="none" w:sz="0" w:space="0" w:color="auto"/>
        <w:bottom w:val="none" w:sz="0" w:space="0" w:color="auto"/>
        <w:right w:val="none" w:sz="0" w:space="0" w:color="auto"/>
      </w:divBdr>
    </w:div>
    <w:div w:id="50623059">
      <w:bodyDiv w:val="1"/>
      <w:marLeft w:val="0"/>
      <w:marRight w:val="0"/>
      <w:marTop w:val="0"/>
      <w:marBottom w:val="0"/>
      <w:divBdr>
        <w:top w:val="none" w:sz="0" w:space="0" w:color="auto"/>
        <w:left w:val="none" w:sz="0" w:space="0" w:color="auto"/>
        <w:bottom w:val="none" w:sz="0" w:space="0" w:color="auto"/>
        <w:right w:val="none" w:sz="0" w:space="0" w:color="auto"/>
      </w:divBdr>
    </w:div>
    <w:div w:id="64647798">
      <w:bodyDiv w:val="1"/>
      <w:marLeft w:val="0"/>
      <w:marRight w:val="0"/>
      <w:marTop w:val="0"/>
      <w:marBottom w:val="0"/>
      <w:divBdr>
        <w:top w:val="none" w:sz="0" w:space="0" w:color="auto"/>
        <w:left w:val="none" w:sz="0" w:space="0" w:color="auto"/>
        <w:bottom w:val="none" w:sz="0" w:space="0" w:color="auto"/>
        <w:right w:val="none" w:sz="0" w:space="0" w:color="auto"/>
      </w:divBdr>
    </w:div>
    <w:div w:id="88432950">
      <w:bodyDiv w:val="1"/>
      <w:marLeft w:val="0"/>
      <w:marRight w:val="0"/>
      <w:marTop w:val="0"/>
      <w:marBottom w:val="0"/>
      <w:divBdr>
        <w:top w:val="none" w:sz="0" w:space="0" w:color="auto"/>
        <w:left w:val="none" w:sz="0" w:space="0" w:color="auto"/>
        <w:bottom w:val="none" w:sz="0" w:space="0" w:color="auto"/>
        <w:right w:val="none" w:sz="0" w:space="0" w:color="auto"/>
      </w:divBdr>
    </w:div>
    <w:div w:id="111705774">
      <w:bodyDiv w:val="1"/>
      <w:marLeft w:val="0"/>
      <w:marRight w:val="0"/>
      <w:marTop w:val="0"/>
      <w:marBottom w:val="0"/>
      <w:divBdr>
        <w:top w:val="none" w:sz="0" w:space="0" w:color="auto"/>
        <w:left w:val="none" w:sz="0" w:space="0" w:color="auto"/>
        <w:bottom w:val="none" w:sz="0" w:space="0" w:color="auto"/>
        <w:right w:val="none" w:sz="0" w:space="0" w:color="auto"/>
      </w:divBdr>
    </w:div>
    <w:div w:id="116223998">
      <w:bodyDiv w:val="1"/>
      <w:marLeft w:val="0"/>
      <w:marRight w:val="0"/>
      <w:marTop w:val="0"/>
      <w:marBottom w:val="0"/>
      <w:divBdr>
        <w:top w:val="none" w:sz="0" w:space="0" w:color="auto"/>
        <w:left w:val="none" w:sz="0" w:space="0" w:color="auto"/>
        <w:bottom w:val="none" w:sz="0" w:space="0" w:color="auto"/>
        <w:right w:val="none" w:sz="0" w:space="0" w:color="auto"/>
      </w:divBdr>
    </w:div>
    <w:div w:id="130247498">
      <w:bodyDiv w:val="1"/>
      <w:marLeft w:val="0"/>
      <w:marRight w:val="0"/>
      <w:marTop w:val="0"/>
      <w:marBottom w:val="0"/>
      <w:divBdr>
        <w:top w:val="none" w:sz="0" w:space="0" w:color="auto"/>
        <w:left w:val="none" w:sz="0" w:space="0" w:color="auto"/>
        <w:bottom w:val="none" w:sz="0" w:space="0" w:color="auto"/>
        <w:right w:val="none" w:sz="0" w:space="0" w:color="auto"/>
      </w:divBdr>
    </w:div>
    <w:div w:id="174661570">
      <w:bodyDiv w:val="1"/>
      <w:marLeft w:val="0"/>
      <w:marRight w:val="0"/>
      <w:marTop w:val="0"/>
      <w:marBottom w:val="0"/>
      <w:divBdr>
        <w:top w:val="none" w:sz="0" w:space="0" w:color="auto"/>
        <w:left w:val="none" w:sz="0" w:space="0" w:color="auto"/>
        <w:bottom w:val="none" w:sz="0" w:space="0" w:color="auto"/>
        <w:right w:val="none" w:sz="0" w:space="0" w:color="auto"/>
      </w:divBdr>
    </w:div>
    <w:div w:id="276761185">
      <w:bodyDiv w:val="1"/>
      <w:marLeft w:val="0"/>
      <w:marRight w:val="0"/>
      <w:marTop w:val="0"/>
      <w:marBottom w:val="0"/>
      <w:divBdr>
        <w:top w:val="none" w:sz="0" w:space="0" w:color="auto"/>
        <w:left w:val="none" w:sz="0" w:space="0" w:color="auto"/>
        <w:bottom w:val="none" w:sz="0" w:space="0" w:color="auto"/>
        <w:right w:val="none" w:sz="0" w:space="0" w:color="auto"/>
      </w:divBdr>
    </w:div>
    <w:div w:id="286856248">
      <w:bodyDiv w:val="1"/>
      <w:marLeft w:val="0"/>
      <w:marRight w:val="0"/>
      <w:marTop w:val="0"/>
      <w:marBottom w:val="0"/>
      <w:divBdr>
        <w:top w:val="none" w:sz="0" w:space="0" w:color="auto"/>
        <w:left w:val="none" w:sz="0" w:space="0" w:color="auto"/>
        <w:bottom w:val="none" w:sz="0" w:space="0" w:color="auto"/>
        <w:right w:val="none" w:sz="0" w:space="0" w:color="auto"/>
      </w:divBdr>
    </w:div>
    <w:div w:id="294406341">
      <w:bodyDiv w:val="1"/>
      <w:marLeft w:val="0"/>
      <w:marRight w:val="0"/>
      <w:marTop w:val="0"/>
      <w:marBottom w:val="0"/>
      <w:divBdr>
        <w:top w:val="none" w:sz="0" w:space="0" w:color="auto"/>
        <w:left w:val="none" w:sz="0" w:space="0" w:color="auto"/>
        <w:bottom w:val="none" w:sz="0" w:space="0" w:color="auto"/>
        <w:right w:val="none" w:sz="0" w:space="0" w:color="auto"/>
      </w:divBdr>
    </w:div>
    <w:div w:id="295834871">
      <w:bodyDiv w:val="1"/>
      <w:marLeft w:val="0"/>
      <w:marRight w:val="0"/>
      <w:marTop w:val="0"/>
      <w:marBottom w:val="0"/>
      <w:divBdr>
        <w:top w:val="none" w:sz="0" w:space="0" w:color="auto"/>
        <w:left w:val="none" w:sz="0" w:space="0" w:color="auto"/>
        <w:bottom w:val="none" w:sz="0" w:space="0" w:color="auto"/>
        <w:right w:val="none" w:sz="0" w:space="0" w:color="auto"/>
      </w:divBdr>
    </w:div>
    <w:div w:id="378475110">
      <w:bodyDiv w:val="1"/>
      <w:marLeft w:val="0"/>
      <w:marRight w:val="0"/>
      <w:marTop w:val="0"/>
      <w:marBottom w:val="0"/>
      <w:divBdr>
        <w:top w:val="none" w:sz="0" w:space="0" w:color="auto"/>
        <w:left w:val="none" w:sz="0" w:space="0" w:color="auto"/>
        <w:bottom w:val="none" w:sz="0" w:space="0" w:color="auto"/>
        <w:right w:val="none" w:sz="0" w:space="0" w:color="auto"/>
      </w:divBdr>
    </w:div>
    <w:div w:id="410080136">
      <w:bodyDiv w:val="1"/>
      <w:marLeft w:val="0"/>
      <w:marRight w:val="0"/>
      <w:marTop w:val="0"/>
      <w:marBottom w:val="0"/>
      <w:divBdr>
        <w:top w:val="none" w:sz="0" w:space="0" w:color="auto"/>
        <w:left w:val="none" w:sz="0" w:space="0" w:color="auto"/>
        <w:bottom w:val="none" w:sz="0" w:space="0" w:color="auto"/>
        <w:right w:val="none" w:sz="0" w:space="0" w:color="auto"/>
      </w:divBdr>
    </w:div>
    <w:div w:id="444270111">
      <w:bodyDiv w:val="1"/>
      <w:marLeft w:val="0"/>
      <w:marRight w:val="0"/>
      <w:marTop w:val="0"/>
      <w:marBottom w:val="0"/>
      <w:divBdr>
        <w:top w:val="none" w:sz="0" w:space="0" w:color="auto"/>
        <w:left w:val="none" w:sz="0" w:space="0" w:color="auto"/>
        <w:bottom w:val="none" w:sz="0" w:space="0" w:color="auto"/>
        <w:right w:val="none" w:sz="0" w:space="0" w:color="auto"/>
      </w:divBdr>
    </w:div>
    <w:div w:id="490490329">
      <w:bodyDiv w:val="1"/>
      <w:marLeft w:val="0"/>
      <w:marRight w:val="0"/>
      <w:marTop w:val="0"/>
      <w:marBottom w:val="0"/>
      <w:divBdr>
        <w:top w:val="none" w:sz="0" w:space="0" w:color="auto"/>
        <w:left w:val="none" w:sz="0" w:space="0" w:color="auto"/>
        <w:bottom w:val="none" w:sz="0" w:space="0" w:color="auto"/>
        <w:right w:val="none" w:sz="0" w:space="0" w:color="auto"/>
      </w:divBdr>
    </w:div>
    <w:div w:id="498816074">
      <w:bodyDiv w:val="1"/>
      <w:marLeft w:val="0"/>
      <w:marRight w:val="0"/>
      <w:marTop w:val="0"/>
      <w:marBottom w:val="0"/>
      <w:divBdr>
        <w:top w:val="none" w:sz="0" w:space="0" w:color="auto"/>
        <w:left w:val="none" w:sz="0" w:space="0" w:color="auto"/>
        <w:bottom w:val="none" w:sz="0" w:space="0" w:color="auto"/>
        <w:right w:val="none" w:sz="0" w:space="0" w:color="auto"/>
      </w:divBdr>
    </w:div>
    <w:div w:id="525565100">
      <w:bodyDiv w:val="1"/>
      <w:marLeft w:val="0"/>
      <w:marRight w:val="0"/>
      <w:marTop w:val="0"/>
      <w:marBottom w:val="0"/>
      <w:divBdr>
        <w:top w:val="none" w:sz="0" w:space="0" w:color="auto"/>
        <w:left w:val="none" w:sz="0" w:space="0" w:color="auto"/>
        <w:bottom w:val="none" w:sz="0" w:space="0" w:color="auto"/>
        <w:right w:val="none" w:sz="0" w:space="0" w:color="auto"/>
      </w:divBdr>
    </w:div>
    <w:div w:id="534268687">
      <w:bodyDiv w:val="1"/>
      <w:marLeft w:val="0"/>
      <w:marRight w:val="0"/>
      <w:marTop w:val="0"/>
      <w:marBottom w:val="0"/>
      <w:divBdr>
        <w:top w:val="none" w:sz="0" w:space="0" w:color="auto"/>
        <w:left w:val="none" w:sz="0" w:space="0" w:color="auto"/>
        <w:bottom w:val="none" w:sz="0" w:space="0" w:color="auto"/>
        <w:right w:val="none" w:sz="0" w:space="0" w:color="auto"/>
      </w:divBdr>
    </w:div>
    <w:div w:id="537930416">
      <w:bodyDiv w:val="1"/>
      <w:marLeft w:val="0"/>
      <w:marRight w:val="0"/>
      <w:marTop w:val="0"/>
      <w:marBottom w:val="0"/>
      <w:divBdr>
        <w:top w:val="none" w:sz="0" w:space="0" w:color="auto"/>
        <w:left w:val="none" w:sz="0" w:space="0" w:color="auto"/>
        <w:bottom w:val="none" w:sz="0" w:space="0" w:color="auto"/>
        <w:right w:val="none" w:sz="0" w:space="0" w:color="auto"/>
      </w:divBdr>
    </w:div>
    <w:div w:id="587808796">
      <w:bodyDiv w:val="1"/>
      <w:marLeft w:val="0"/>
      <w:marRight w:val="0"/>
      <w:marTop w:val="0"/>
      <w:marBottom w:val="0"/>
      <w:divBdr>
        <w:top w:val="none" w:sz="0" w:space="0" w:color="auto"/>
        <w:left w:val="none" w:sz="0" w:space="0" w:color="auto"/>
        <w:bottom w:val="none" w:sz="0" w:space="0" w:color="auto"/>
        <w:right w:val="none" w:sz="0" w:space="0" w:color="auto"/>
      </w:divBdr>
    </w:div>
    <w:div w:id="615792577">
      <w:bodyDiv w:val="1"/>
      <w:marLeft w:val="0"/>
      <w:marRight w:val="0"/>
      <w:marTop w:val="0"/>
      <w:marBottom w:val="0"/>
      <w:divBdr>
        <w:top w:val="none" w:sz="0" w:space="0" w:color="auto"/>
        <w:left w:val="none" w:sz="0" w:space="0" w:color="auto"/>
        <w:bottom w:val="none" w:sz="0" w:space="0" w:color="auto"/>
        <w:right w:val="none" w:sz="0" w:space="0" w:color="auto"/>
      </w:divBdr>
    </w:div>
    <w:div w:id="645864745">
      <w:bodyDiv w:val="1"/>
      <w:marLeft w:val="0"/>
      <w:marRight w:val="0"/>
      <w:marTop w:val="0"/>
      <w:marBottom w:val="0"/>
      <w:divBdr>
        <w:top w:val="none" w:sz="0" w:space="0" w:color="auto"/>
        <w:left w:val="none" w:sz="0" w:space="0" w:color="auto"/>
        <w:bottom w:val="none" w:sz="0" w:space="0" w:color="auto"/>
        <w:right w:val="none" w:sz="0" w:space="0" w:color="auto"/>
      </w:divBdr>
    </w:div>
    <w:div w:id="767700930">
      <w:bodyDiv w:val="1"/>
      <w:marLeft w:val="0"/>
      <w:marRight w:val="0"/>
      <w:marTop w:val="0"/>
      <w:marBottom w:val="0"/>
      <w:divBdr>
        <w:top w:val="none" w:sz="0" w:space="0" w:color="auto"/>
        <w:left w:val="none" w:sz="0" w:space="0" w:color="auto"/>
        <w:bottom w:val="none" w:sz="0" w:space="0" w:color="auto"/>
        <w:right w:val="none" w:sz="0" w:space="0" w:color="auto"/>
      </w:divBdr>
    </w:div>
    <w:div w:id="871115414">
      <w:bodyDiv w:val="1"/>
      <w:marLeft w:val="0"/>
      <w:marRight w:val="0"/>
      <w:marTop w:val="0"/>
      <w:marBottom w:val="0"/>
      <w:divBdr>
        <w:top w:val="none" w:sz="0" w:space="0" w:color="auto"/>
        <w:left w:val="none" w:sz="0" w:space="0" w:color="auto"/>
        <w:bottom w:val="none" w:sz="0" w:space="0" w:color="auto"/>
        <w:right w:val="none" w:sz="0" w:space="0" w:color="auto"/>
      </w:divBdr>
    </w:div>
    <w:div w:id="899636278">
      <w:bodyDiv w:val="1"/>
      <w:marLeft w:val="0"/>
      <w:marRight w:val="0"/>
      <w:marTop w:val="0"/>
      <w:marBottom w:val="0"/>
      <w:divBdr>
        <w:top w:val="none" w:sz="0" w:space="0" w:color="auto"/>
        <w:left w:val="none" w:sz="0" w:space="0" w:color="auto"/>
        <w:bottom w:val="none" w:sz="0" w:space="0" w:color="auto"/>
        <w:right w:val="none" w:sz="0" w:space="0" w:color="auto"/>
      </w:divBdr>
    </w:div>
    <w:div w:id="912741863">
      <w:bodyDiv w:val="1"/>
      <w:marLeft w:val="0"/>
      <w:marRight w:val="0"/>
      <w:marTop w:val="0"/>
      <w:marBottom w:val="0"/>
      <w:divBdr>
        <w:top w:val="none" w:sz="0" w:space="0" w:color="auto"/>
        <w:left w:val="none" w:sz="0" w:space="0" w:color="auto"/>
        <w:bottom w:val="none" w:sz="0" w:space="0" w:color="auto"/>
        <w:right w:val="none" w:sz="0" w:space="0" w:color="auto"/>
      </w:divBdr>
    </w:div>
    <w:div w:id="943926620">
      <w:bodyDiv w:val="1"/>
      <w:marLeft w:val="0"/>
      <w:marRight w:val="0"/>
      <w:marTop w:val="0"/>
      <w:marBottom w:val="0"/>
      <w:divBdr>
        <w:top w:val="none" w:sz="0" w:space="0" w:color="auto"/>
        <w:left w:val="none" w:sz="0" w:space="0" w:color="auto"/>
        <w:bottom w:val="none" w:sz="0" w:space="0" w:color="auto"/>
        <w:right w:val="none" w:sz="0" w:space="0" w:color="auto"/>
      </w:divBdr>
    </w:div>
    <w:div w:id="967272801">
      <w:bodyDiv w:val="1"/>
      <w:marLeft w:val="0"/>
      <w:marRight w:val="0"/>
      <w:marTop w:val="0"/>
      <w:marBottom w:val="0"/>
      <w:divBdr>
        <w:top w:val="none" w:sz="0" w:space="0" w:color="auto"/>
        <w:left w:val="none" w:sz="0" w:space="0" w:color="auto"/>
        <w:bottom w:val="none" w:sz="0" w:space="0" w:color="auto"/>
        <w:right w:val="none" w:sz="0" w:space="0" w:color="auto"/>
      </w:divBdr>
    </w:div>
    <w:div w:id="968121120">
      <w:bodyDiv w:val="1"/>
      <w:marLeft w:val="0"/>
      <w:marRight w:val="0"/>
      <w:marTop w:val="0"/>
      <w:marBottom w:val="0"/>
      <w:divBdr>
        <w:top w:val="none" w:sz="0" w:space="0" w:color="auto"/>
        <w:left w:val="none" w:sz="0" w:space="0" w:color="auto"/>
        <w:bottom w:val="none" w:sz="0" w:space="0" w:color="auto"/>
        <w:right w:val="none" w:sz="0" w:space="0" w:color="auto"/>
      </w:divBdr>
    </w:div>
    <w:div w:id="1006519987">
      <w:bodyDiv w:val="1"/>
      <w:marLeft w:val="0"/>
      <w:marRight w:val="0"/>
      <w:marTop w:val="0"/>
      <w:marBottom w:val="0"/>
      <w:divBdr>
        <w:top w:val="none" w:sz="0" w:space="0" w:color="auto"/>
        <w:left w:val="none" w:sz="0" w:space="0" w:color="auto"/>
        <w:bottom w:val="none" w:sz="0" w:space="0" w:color="auto"/>
        <w:right w:val="none" w:sz="0" w:space="0" w:color="auto"/>
      </w:divBdr>
    </w:div>
    <w:div w:id="1053196234">
      <w:bodyDiv w:val="1"/>
      <w:marLeft w:val="0"/>
      <w:marRight w:val="0"/>
      <w:marTop w:val="0"/>
      <w:marBottom w:val="0"/>
      <w:divBdr>
        <w:top w:val="none" w:sz="0" w:space="0" w:color="auto"/>
        <w:left w:val="none" w:sz="0" w:space="0" w:color="auto"/>
        <w:bottom w:val="none" w:sz="0" w:space="0" w:color="auto"/>
        <w:right w:val="none" w:sz="0" w:space="0" w:color="auto"/>
      </w:divBdr>
    </w:div>
    <w:div w:id="1063597236">
      <w:bodyDiv w:val="1"/>
      <w:marLeft w:val="0"/>
      <w:marRight w:val="0"/>
      <w:marTop w:val="0"/>
      <w:marBottom w:val="0"/>
      <w:divBdr>
        <w:top w:val="none" w:sz="0" w:space="0" w:color="auto"/>
        <w:left w:val="none" w:sz="0" w:space="0" w:color="auto"/>
        <w:bottom w:val="none" w:sz="0" w:space="0" w:color="auto"/>
        <w:right w:val="none" w:sz="0" w:space="0" w:color="auto"/>
      </w:divBdr>
    </w:div>
    <w:div w:id="1147168760">
      <w:bodyDiv w:val="1"/>
      <w:marLeft w:val="0"/>
      <w:marRight w:val="0"/>
      <w:marTop w:val="0"/>
      <w:marBottom w:val="0"/>
      <w:divBdr>
        <w:top w:val="none" w:sz="0" w:space="0" w:color="auto"/>
        <w:left w:val="none" w:sz="0" w:space="0" w:color="auto"/>
        <w:bottom w:val="none" w:sz="0" w:space="0" w:color="auto"/>
        <w:right w:val="none" w:sz="0" w:space="0" w:color="auto"/>
      </w:divBdr>
    </w:div>
    <w:div w:id="1209998773">
      <w:bodyDiv w:val="1"/>
      <w:marLeft w:val="0"/>
      <w:marRight w:val="0"/>
      <w:marTop w:val="0"/>
      <w:marBottom w:val="0"/>
      <w:divBdr>
        <w:top w:val="none" w:sz="0" w:space="0" w:color="auto"/>
        <w:left w:val="none" w:sz="0" w:space="0" w:color="auto"/>
        <w:bottom w:val="none" w:sz="0" w:space="0" w:color="auto"/>
        <w:right w:val="none" w:sz="0" w:space="0" w:color="auto"/>
      </w:divBdr>
    </w:div>
    <w:div w:id="1210994044">
      <w:bodyDiv w:val="1"/>
      <w:marLeft w:val="0"/>
      <w:marRight w:val="0"/>
      <w:marTop w:val="0"/>
      <w:marBottom w:val="0"/>
      <w:divBdr>
        <w:top w:val="none" w:sz="0" w:space="0" w:color="auto"/>
        <w:left w:val="none" w:sz="0" w:space="0" w:color="auto"/>
        <w:bottom w:val="none" w:sz="0" w:space="0" w:color="auto"/>
        <w:right w:val="none" w:sz="0" w:space="0" w:color="auto"/>
      </w:divBdr>
    </w:div>
    <w:div w:id="1244996962">
      <w:bodyDiv w:val="1"/>
      <w:marLeft w:val="0"/>
      <w:marRight w:val="0"/>
      <w:marTop w:val="0"/>
      <w:marBottom w:val="0"/>
      <w:divBdr>
        <w:top w:val="none" w:sz="0" w:space="0" w:color="auto"/>
        <w:left w:val="none" w:sz="0" w:space="0" w:color="auto"/>
        <w:bottom w:val="none" w:sz="0" w:space="0" w:color="auto"/>
        <w:right w:val="none" w:sz="0" w:space="0" w:color="auto"/>
      </w:divBdr>
    </w:div>
    <w:div w:id="1254778008">
      <w:bodyDiv w:val="1"/>
      <w:marLeft w:val="0"/>
      <w:marRight w:val="0"/>
      <w:marTop w:val="0"/>
      <w:marBottom w:val="0"/>
      <w:divBdr>
        <w:top w:val="none" w:sz="0" w:space="0" w:color="auto"/>
        <w:left w:val="none" w:sz="0" w:space="0" w:color="auto"/>
        <w:bottom w:val="none" w:sz="0" w:space="0" w:color="auto"/>
        <w:right w:val="none" w:sz="0" w:space="0" w:color="auto"/>
      </w:divBdr>
    </w:div>
    <w:div w:id="1319261920">
      <w:bodyDiv w:val="1"/>
      <w:marLeft w:val="0"/>
      <w:marRight w:val="0"/>
      <w:marTop w:val="0"/>
      <w:marBottom w:val="0"/>
      <w:divBdr>
        <w:top w:val="none" w:sz="0" w:space="0" w:color="auto"/>
        <w:left w:val="none" w:sz="0" w:space="0" w:color="auto"/>
        <w:bottom w:val="none" w:sz="0" w:space="0" w:color="auto"/>
        <w:right w:val="none" w:sz="0" w:space="0" w:color="auto"/>
      </w:divBdr>
    </w:div>
    <w:div w:id="1328358581">
      <w:bodyDiv w:val="1"/>
      <w:marLeft w:val="0"/>
      <w:marRight w:val="0"/>
      <w:marTop w:val="0"/>
      <w:marBottom w:val="0"/>
      <w:divBdr>
        <w:top w:val="none" w:sz="0" w:space="0" w:color="auto"/>
        <w:left w:val="none" w:sz="0" w:space="0" w:color="auto"/>
        <w:bottom w:val="none" w:sz="0" w:space="0" w:color="auto"/>
        <w:right w:val="none" w:sz="0" w:space="0" w:color="auto"/>
      </w:divBdr>
    </w:div>
    <w:div w:id="1377700357">
      <w:bodyDiv w:val="1"/>
      <w:marLeft w:val="0"/>
      <w:marRight w:val="0"/>
      <w:marTop w:val="0"/>
      <w:marBottom w:val="0"/>
      <w:divBdr>
        <w:top w:val="none" w:sz="0" w:space="0" w:color="auto"/>
        <w:left w:val="none" w:sz="0" w:space="0" w:color="auto"/>
        <w:bottom w:val="none" w:sz="0" w:space="0" w:color="auto"/>
        <w:right w:val="none" w:sz="0" w:space="0" w:color="auto"/>
      </w:divBdr>
    </w:div>
    <w:div w:id="1421291203">
      <w:bodyDiv w:val="1"/>
      <w:marLeft w:val="0"/>
      <w:marRight w:val="0"/>
      <w:marTop w:val="0"/>
      <w:marBottom w:val="0"/>
      <w:divBdr>
        <w:top w:val="none" w:sz="0" w:space="0" w:color="auto"/>
        <w:left w:val="none" w:sz="0" w:space="0" w:color="auto"/>
        <w:bottom w:val="none" w:sz="0" w:space="0" w:color="auto"/>
        <w:right w:val="none" w:sz="0" w:space="0" w:color="auto"/>
      </w:divBdr>
    </w:div>
    <w:div w:id="1424305466">
      <w:bodyDiv w:val="1"/>
      <w:marLeft w:val="0"/>
      <w:marRight w:val="0"/>
      <w:marTop w:val="0"/>
      <w:marBottom w:val="0"/>
      <w:divBdr>
        <w:top w:val="none" w:sz="0" w:space="0" w:color="auto"/>
        <w:left w:val="none" w:sz="0" w:space="0" w:color="auto"/>
        <w:bottom w:val="none" w:sz="0" w:space="0" w:color="auto"/>
        <w:right w:val="none" w:sz="0" w:space="0" w:color="auto"/>
      </w:divBdr>
    </w:div>
    <w:div w:id="1424453478">
      <w:bodyDiv w:val="1"/>
      <w:marLeft w:val="0"/>
      <w:marRight w:val="0"/>
      <w:marTop w:val="0"/>
      <w:marBottom w:val="0"/>
      <w:divBdr>
        <w:top w:val="none" w:sz="0" w:space="0" w:color="auto"/>
        <w:left w:val="none" w:sz="0" w:space="0" w:color="auto"/>
        <w:bottom w:val="none" w:sz="0" w:space="0" w:color="auto"/>
        <w:right w:val="none" w:sz="0" w:space="0" w:color="auto"/>
      </w:divBdr>
    </w:div>
    <w:div w:id="1439980820">
      <w:bodyDiv w:val="1"/>
      <w:marLeft w:val="0"/>
      <w:marRight w:val="0"/>
      <w:marTop w:val="0"/>
      <w:marBottom w:val="0"/>
      <w:divBdr>
        <w:top w:val="none" w:sz="0" w:space="0" w:color="auto"/>
        <w:left w:val="none" w:sz="0" w:space="0" w:color="auto"/>
        <w:bottom w:val="none" w:sz="0" w:space="0" w:color="auto"/>
        <w:right w:val="none" w:sz="0" w:space="0" w:color="auto"/>
      </w:divBdr>
    </w:div>
    <w:div w:id="1444183916">
      <w:bodyDiv w:val="1"/>
      <w:marLeft w:val="0"/>
      <w:marRight w:val="0"/>
      <w:marTop w:val="0"/>
      <w:marBottom w:val="0"/>
      <w:divBdr>
        <w:top w:val="none" w:sz="0" w:space="0" w:color="auto"/>
        <w:left w:val="none" w:sz="0" w:space="0" w:color="auto"/>
        <w:bottom w:val="none" w:sz="0" w:space="0" w:color="auto"/>
        <w:right w:val="none" w:sz="0" w:space="0" w:color="auto"/>
      </w:divBdr>
    </w:div>
    <w:div w:id="1467896473">
      <w:bodyDiv w:val="1"/>
      <w:marLeft w:val="0"/>
      <w:marRight w:val="0"/>
      <w:marTop w:val="0"/>
      <w:marBottom w:val="0"/>
      <w:divBdr>
        <w:top w:val="none" w:sz="0" w:space="0" w:color="auto"/>
        <w:left w:val="none" w:sz="0" w:space="0" w:color="auto"/>
        <w:bottom w:val="none" w:sz="0" w:space="0" w:color="auto"/>
        <w:right w:val="none" w:sz="0" w:space="0" w:color="auto"/>
      </w:divBdr>
    </w:div>
    <w:div w:id="1483233416">
      <w:bodyDiv w:val="1"/>
      <w:marLeft w:val="0"/>
      <w:marRight w:val="0"/>
      <w:marTop w:val="0"/>
      <w:marBottom w:val="0"/>
      <w:divBdr>
        <w:top w:val="none" w:sz="0" w:space="0" w:color="auto"/>
        <w:left w:val="none" w:sz="0" w:space="0" w:color="auto"/>
        <w:bottom w:val="none" w:sz="0" w:space="0" w:color="auto"/>
        <w:right w:val="none" w:sz="0" w:space="0" w:color="auto"/>
      </w:divBdr>
    </w:div>
    <w:div w:id="1522477239">
      <w:bodyDiv w:val="1"/>
      <w:marLeft w:val="0"/>
      <w:marRight w:val="0"/>
      <w:marTop w:val="0"/>
      <w:marBottom w:val="0"/>
      <w:divBdr>
        <w:top w:val="none" w:sz="0" w:space="0" w:color="auto"/>
        <w:left w:val="none" w:sz="0" w:space="0" w:color="auto"/>
        <w:bottom w:val="none" w:sz="0" w:space="0" w:color="auto"/>
        <w:right w:val="none" w:sz="0" w:space="0" w:color="auto"/>
      </w:divBdr>
    </w:div>
    <w:div w:id="1566331155">
      <w:bodyDiv w:val="1"/>
      <w:marLeft w:val="0"/>
      <w:marRight w:val="0"/>
      <w:marTop w:val="0"/>
      <w:marBottom w:val="0"/>
      <w:divBdr>
        <w:top w:val="none" w:sz="0" w:space="0" w:color="auto"/>
        <w:left w:val="none" w:sz="0" w:space="0" w:color="auto"/>
        <w:bottom w:val="none" w:sz="0" w:space="0" w:color="auto"/>
        <w:right w:val="none" w:sz="0" w:space="0" w:color="auto"/>
      </w:divBdr>
    </w:div>
    <w:div w:id="1644657476">
      <w:bodyDiv w:val="1"/>
      <w:marLeft w:val="0"/>
      <w:marRight w:val="0"/>
      <w:marTop w:val="0"/>
      <w:marBottom w:val="0"/>
      <w:divBdr>
        <w:top w:val="none" w:sz="0" w:space="0" w:color="auto"/>
        <w:left w:val="none" w:sz="0" w:space="0" w:color="auto"/>
        <w:bottom w:val="none" w:sz="0" w:space="0" w:color="auto"/>
        <w:right w:val="none" w:sz="0" w:space="0" w:color="auto"/>
      </w:divBdr>
    </w:div>
    <w:div w:id="1654600138">
      <w:bodyDiv w:val="1"/>
      <w:marLeft w:val="0"/>
      <w:marRight w:val="0"/>
      <w:marTop w:val="0"/>
      <w:marBottom w:val="0"/>
      <w:divBdr>
        <w:top w:val="none" w:sz="0" w:space="0" w:color="auto"/>
        <w:left w:val="none" w:sz="0" w:space="0" w:color="auto"/>
        <w:bottom w:val="none" w:sz="0" w:space="0" w:color="auto"/>
        <w:right w:val="none" w:sz="0" w:space="0" w:color="auto"/>
      </w:divBdr>
    </w:div>
    <w:div w:id="1686862279">
      <w:bodyDiv w:val="1"/>
      <w:marLeft w:val="0"/>
      <w:marRight w:val="0"/>
      <w:marTop w:val="0"/>
      <w:marBottom w:val="0"/>
      <w:divBdr>
        <w:top w:val="none" w:sz="0" w:space="0" w:color="auto"/>
        <w:left w:val="none" w:sz="0" w:space="0" w:color="auto"/>
        <w:bottom w:val="none" w:sz="0" w:space="0" w:color="auto"/>
        <w:right w:val="none" w:sz="0" w:space="0" w:color="auto"/>
      </w:divBdr>
    </w:div>
    <w:div w:id="1699698757">
      <w:bodyDiv w:val="1"/>
      <w:marLeft w:val="0"/>
      <w:marRight w:val="0"/>
      <w:marTop w:val="0"/>
      <w:marBottom w:val="0"/>
      <w:divBdr>
        <w:top w:val="none" w:sz="0" w:space="0" w:color="auto"/>
        <w:left w:val="none" w:sz="0" w:space="0" w:color="auto"/>
        <w:bottom w:val="none" w:sz="0" w:space="0" w:color="auto"/>
        <w:right w:val="none" w:sz="0" w:space="0" w:color="auto"/>
      </w:divBdr>
    </w:div>
    <w:div w:id="1711421750">
      <w:bodyDiv w:val="1"/>
      <w:marLeft w:val="0"/>
      <w:marRight w:val="0"/>
      <w:marTop w:val="0"/>
      <w:marBottom w:val="0"/>
      <w:divBdr>
        <w:top w:val="none" w:sz="0" w:space="0" w:color="auto"/>
        <w:left w:val="none" w:sz="0" w:space="0" w:color="auto"/>
        <w:bottom w:val="none" w:sz="0" w:space="0" w:color="auto"/>
        <w:right w:val="none" w:sz="0" w:space="0" w:color="auto"/>
      </w:divBdr>
    </w:div>
    <w:div w:id="1733041790">
      <w:bodyDiv w:val="1"/>
      <w:marLeft w:val="0"/>
      <w:marRight w:val="0"/>
      <w:marTop w:val="0"/>
      <w:marBottom w:val="0"/>
      <w:divBdr>
        <w:top w:val="none" w:sz="0" w:space="0" w:color="auto"/>
        <w:left w:val="none" w:sz="0" w:space="0" w:color="auto"/>
        <w:bottom w:val="none" w:sz="0" w:space="0" w:color="auto"/>
        <w:right w:val="none" w:sz="0" w:space="0" w:color="auto"/>
      </w:divBdr>
    </w:div>
    <w:div w:id="1753159577">
      <w:bodyDiv w:val="1"/>
      <w:marLeft w:val="0"/>
      <w:marRight w:val="0"/>
      <w:marTop w:val="0"/>
      <w:marBottom w:val="0"/>
      <w:divBdr>
        <w:top w:val="none" w:sz="0" w:space="0" w:color="auto"/>
        <w:left w:val="none" w:sz="0" w:space="0" w:color="auto"/>
        <w:bottom w:val="none" w:sz="0" w:space="0" w:color="auto"/>
        <w:right w:val="none" w:sz="0" w:space="0" w:color="auto"/>
      </w:divBdr>
    </w:div>
    <w:div w:id="1768113557">
      <w:bodyDiv w:val="1"/>
      <w:marLeft w:val="0"/>
      <w:marRight w:val="0"/>
      <w:marTop w:val="0"/>
      <w:marBottom w:val="0"/>
      <w:divBdr>
        <w:top w:val="none" w:sz="0" w:space="0" w:color="auto"/>
        <w:left w:val="none" w:sz="0" w:space="0" w:color="auto"/>
        <w:bottom w:val="none" w:sz="0" w:space="0" w:color="auto"/>
        <w:right w:val="none" w:sz="0" w:space="0" w:color="auto"/>
      </w:divBdr>
    </w:div>
    <w:div w:id="1786801489">
      <w:bodyDiv w:val="1"/>
      <w:marLeft w:val="0"/>
      <w:marRight w:val="0"/>
      <w:marTop w:val="0"/>
      <w:marBottom w:val="0"/>
      <w:divBdr>
        <w:top w:val="none" w:sz="0" w:space="0" w:color="auto"/>
        <w:left w:val="none" w:sz="0" w:space="0" w:color="auto"/>
        <w:bottom w:val="none" w:sz="0" w:space="0" w:color="auto"/>
        <w:right w:val="none" w:sz="0" w:space="0" w:color="auto"/>
      </w:divBdr>
    </w:div>
    <w:div w:id="1793863087">
      <w:bodyDiv w:val="1"/>
      <w:marLeft w:val="0"/>
      <w:marRight w:val="0"/>
      <w:marTop w:val="0"/>
      <w:marBottom w:val="0"/>
      <w:divBdr>
        <w:top w:val="none" w:sz="0" w:space="0" w:color="auto"/>
        <w:left w:val="none" w:sz="0" w:space="0" w:color="auto"/>
        <w:bottom w:val="none" w:sz="0" w:space="0" w:color="auto"/>
        <w:right w:val="none" w:sz="0" w:space="0" w:color="auto"/>
      </w:divBdr>
    </w:div>
    <w:div w:id="1803306306">
      <w:bodyDiv w:val="1"/>
      <w:marLeft w:val="0"/>
      <w:marRight w:val="0"/>
      <w:marTop w:val="0"/>
      <w:marBottom w:val="0"/>
      <w:divBdr>
        <w:top w:val="none" w:sz="0" w:space="0" w:color="auto"/>
        <w:left w:val="none" w:sz="0" w:space="0" w:color="auto"/>
        <w:bottom w:val="none" w:sz="0" w:space="0" w:color="auto"/>
        <w:right w:val="none" w:sz="0" w:space="0" w:color="auto"/>
      </w:divBdr>
    </w:div>
    <w:div w:id="1809199819">
      <w:bodyDiv w:val="1"/>
      <w:marLeft w:val="0"/>
      <w:marRight w:val="0"/>
      <w:marTop w:val="0"/>
      <w:marBottom w:val="0"/>
      <w:divBdr>
        <w:top w:val="none" w:sz="0" w:space="0" w:color="auto"/>
        <w:left w:val="none" w:sz="0" w:space="0" w:color="auto"/>
        <w:bottom w:val="none" w:sz="0" w:space="0" w:color="auto"/>
        <w:right w:val="none" w:sz="0" w:space="0" w:color="auto"/>
      </w:divBdr>
    </w:div>
    <w:div w:id="1869876203">
      <w:bodyDiv w:val="1"/>
      <w:marLeft w:val="0"/>
      <w:marRight w:val="0"/>
      <w:marTop w:val="0"/>
      <w:marBottom w:val="0"/>
      <w:divBdr>
        <w:top w:val="none" w:sz="0" w:space="0" w:color="auto"/>
        <w:left w:val="none" w:sz="0" w:space="0" w:color="auto"/>
        <w:bottom w:val="none" w:sz="0" w:space="0" w:color="auto"/>
        <w:right w:val="none" w:sz="0" w:space="0" w:color="auto"/>
      </w:divBdr>
    </w:div>
    <w:div w:id="1878004444">
      <w:bodyDiv w:val="1"/>
      <w:marLeft w:val="0"/>
      <w:marRight w:val="0"/>
      <w:marTop w:val="0"/>
      <w:marBottom w:val="0"/>
      <w:divBdr>
        <w:top w:val="none" w:sz="0" w:space="0" w:color="auto"/>
        <w:left w:val="none" w:sz="0" w:space="0" w:color="auto"/>
        <w:bottom w:val="none" w:sz="0" w:space="0" w:color="auto"/>
        <w:right w:val="none" w:sz="0" w:space="0" w:color="auto"/>
      </w:divBdr>
    </w:div>
    <w:div w:id="2009283968">
      <w:bodyDiv w:val="1"/>
      <w:marLeft w:val="0"/>
      <w:marRight w:val="0"/>
      <w:marTop w:val="0"/>
      <w:marBottom w:val="0"/>
      <w:divBdr>
        <w:top w:val="none" w:sz="0" w:space="0" w:color="auto"/>
        <w:left w:val="none" w:sz="0" w:space="0" w:color="auto"/>
        <w:bottom w:val="none" w:sz="0" w:space="0" w:color="auto"/>
        <w:right w:val="none" w:sz="0" w:space="0" w:color="auto"/>
      </w:divBdr>
    </w:div>
    <w:div w:id="2041591222">
      <w:bodyDiv w:val="1"/>
      <w:marLeft w:val="0"/>
      <w:marRight w:val="0"/>
      <w:marTop w:val="0"/>
      <w:marBottom w:val="0"/>
      <w:divBdr>
        <w:top w:val="none" w:sz="0" w:space="0" w:color="auto"/>
        <w:left w:val="none" w:sz="0" w:space="0" w:color="auto"/>
        <w:bottom w:val="none" w:sz="0" w:space="0" w:color="auto"/>
        <w:right w:val="none" w:sz="0" w:space="0" w:color="auto"/>
      </w:divBdr>
    </w:div>
    <w:div w:id="2085494743">
      <w:bodyDiv w:val="1"/>
      <w:marLeft w:val="0"/>
      <w:marRight w:val="0"/>
      <w:marTop w:val="0"/>
      <w:marBottom w:val="0"/>
      <w:divBdr>
        <w:top w:val="none" w:sz="0" w:space="0" w:color="auto"/>
        <w:left w:val="none" w:sz="0" w:space="0" w:color="auto"/>
        <w:bottom w:val="none" w:sz="0" w:space="0" w:color="auto"/>
        <w:right w:val="none" w:sz="0" w:space="0" w:color="auto"/>
      </w:divBdr>
    </w:div>
    <w:div w:id="2092506018">
      <w:bodyDiv w:val="1"/>
      <w:marLeft w:val="0"/>
      <w:marRight w:val="0"/>
      <w:marTop w:val="0"/>
      <w:marBottom w:val="0"/>
      <w:divBdr>
        <w:top w:val="none" w:sz="0" w:space="0" w:color="auto"/>
        <w:left w:val="none" w:sz="0" w:space="0" w:color="auto"/>
        <w:bottom w:val="none" w:sz="0" w:space="0" w:color="auto"/>
        <w:right w:val="none" w:sz="0" w:space="0" w:color="auto"/>
      </w:divBdr>
    </w:div>
    <w:div w:id="2112779250">
      <w:bodyDiv w:val="1"/>
      <w:marLeft w:val="0"/>
      <w:marRight w:val="0"/>
      <w:marTop w:val="0"/>
      <w:marBottom w:val="0"/>
      <w:divBdr>
        <w:top w:val="none" w:sz="0" w:space="0" w:color="auto"/>
        <w:left w:val="none" w:sz="0" w:space="0" w:color="auto"/>
        <w:bottom w:val="none" w:sz="0" w:space="0" w:color="auto"/>
        <w:right w:val="none" w:sz="0" w:space="0" w:color="auto"/>
      </w:divBdr>
    </w:div>
    <w:div w:id="21277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1048291119870762" TargetMode="External"/><Relationship Id="rId13" Type="http://schemas.openxmlformats.org/officeDocument/2006/relationships/hyperlink" Target="https://laws-lois.justice.gc.ca/eng/regulations/C.R.C.,_c._1435/FullText.html" TargetMode="External"/><Relationship Id="rId3" Type="http://schemas.openxmlformats.org/officeDocument/2006/relationships/hyperlink" Target="http://www.bst-tsb.gc.ca/eng/surveillance-watchlist/marine/2018/marine.html" TargetMode="External"/><Relationship Id="rId7" Type="http://schemas.openxmlformats.org/officeDocument/2006/relationships/hyperlink" Target="https://www.eea.europa.eu/soer-2015/europe/maritime-activities/european-maritime-activities-and-potential" TargetMode="External"/><Relationship Id="rId12" Type="http://schemas.openxmlformats.org/officeDocument/2006/relationships/hyperlink" Target="http://www.tc.gc.ca/media/documents/marinesafety/fvsr_eng_web.pdf" TargetMode="External"/><Relationship Id="rId17" Type="http://schemas.openxmlformats.org/officeDocument/2006/relationships/hyperlink" Target="https://www.canada.ca/en/employment-social-development/programs/laws-regulations/labour/forward-regulatory-plan/labour-forward-regulatory-plan.html" TargetMode="External"/><Relationship Id="rId2" Type="http://schemas.openxmlformats.org/officeDocument/2006/relationships/hyperlink" Target="https://www.cbc.ca/news/canada/montreal/quebec-man-dies-st-lawrence-seaway-1.4865698" TargetMode="External"/><Relationship Id="rId16" Type="http://schemas.openxmlformats.org/officeDocument/2006/relationships/hyperlink" Target="http://workplaceviolence.ca/wp-content/uploads/2017/12/Workplace-Violence-and-Workplace-Harassment-Legislation.pdf" TargetMode="External"/><Relationship Id="rId1" Type="http://schemas.openxmlformats.org/officeDocument/2006/relationships/hyperlink" Target="https://www.maritime-executive.com/article/crewmember-suffers-fatal-fall-from-dock-at-eisenhower-locks" TargetMode="External"/><Relationship Id="rId6" Type="http://schemas.openxmlformats.org/officeDocument/2006/relationships/hyperlink" Target="http://www.tsb.gc.ca/eng/enquetes-investigations/marine/2018/m18c0225/m18c0225.html" TargetMode="External"/><Relationship Id="rId11" Type="http://schemas.openxmlformats.org/officeDocument/2006/relationships/hyperlink" Target="https://www.ilo.org/wcmsp5/groups/public/---ed_dialogue/---sector/documents/publication/wcms_438074.pdf" TargetMode="External"/><Relationship Id="rId5" Type="http://schemas.openxmlformats.org/officeDocument/2006/relationships/hyperlink" Target="https://www.cbc.ca/news/canada/north/rcaf-akademik-ioffe-expensive-1.4810589" TargetMode="External"/><Relationship Id="rId15" Type="http://schemas.openxmlformats.org/officeDocument/2006/relationships/hyperlink" Target="https://doi.org/10.1177/1048291119870762" TargetMode="External"/><Relationship Id="rId10" Type="http://schemas.openxmlformats.org/officeDocument/2006/relationships/hyperlink" Target="http://awsassets.wwf.ca/downloads/wwf_arctic_shipping_summary_report_1.pdf" TargetMode="External"/><Relationship Id="rId4" Type="http://schemas.openxmlformats.org/officeDocument/2006/relationships/hyperlink" Target="https://www.cbc.ca/news/canada/nova-scotia/transportation-safety-board-commercial-fishing-industry-deaths-watchlist-2018-1.4882699" TargetMode="External"/><Relationship Id="rId9" Type="http://schemas.openxmlformats.org/officeDocument/2006/relationships/hyperlink" Target="https://doi.org/10.1080/18366503.2015.1093695" TargetMode="External"/><Relationship Id="rId14" Type="http://schemas.openxmlformats.org/officeDocument/2006/relationships/hyperlink" Target="https://www.mun.ca/safetynet/library/Fishery/CAR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DACB-4213-804D-925B-DC802AC0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6082</Words>
  <Characters>34674</Characters>
  <Application>Microsoft Office Word</Application>
  <DocSecurity>0</DocSecurity>
  <Lines>288</Lines>
  <Paragraphs>81</Paragraphs>
  <ScaleCrop>false</ScaleCrop>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desai</dc:creator>
  <cp:keywords/>
  <dc:description/>
  <cp:lastModifiedBy>Desai Shan</cp:lastModifiedBy>
  <cp:revision>3</cp:revision>
  <cp:lastPrinted>2019-09-02T03:59:00Z</cp:lastPrinted>
  <dcterms:created xsi:type="dcterms:W3CDTF">2022-09-06T14:12:00Z</dcterms:created>
  <dcterms:modified xsi:type="dcterms:W3CDTF">2022-09-06T14:12:00Z</dcterms:modified>
</cp:coreProperties>
</file>